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460" w:rsidRPr="00FF21D6" w:rsidRDefault="00F67A58" w:rsidP="00552460">
      <w:r>
        <w:rPr>
          <w:noProof/>
          <w:lang w:eastAsia="en-GB"/>
        </w:rPr>
        <w:drawing>
          <wp:anchor distT="0" distB="0" distL="114300" distR="114300" simplePos="0" relativeHeight="251654656" behindDoc="1" locked="1" layoutInCell="1" allowOverlap="1">
            <wp:simplePos x="0" y="0"/>
            <wp:positionH relativeFrom="column">
              <wp:posOffset>-1141095</wp:posOffset>
            </wp:positionH>
            <wp:positionV relativeFrom="page">
              <wp:posOffset>2540</wp:posOffset>
            </wp:positionV>
            <wp:extent cx="7658100" cy="7315200"/>
            <wp:effectExtent l="0" t="0" r="0" b="0"/>
            <wp:wrapNone/>
            <wp:docPr id="2" name="Picture 2" descr="Image for policy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for policy templ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58100" cy="7315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Y="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81"/>
      </w:tblGrid>
      <w:tr w:rsidR="002F789B" w:rsidTr="002F789B">
        <w:trPr>
          <w:trHeight w:val="1462"/>
        </w:trPr>
        <w:tc>
          <w:tcPr>
            <w:tcW w:w="6281" w:type="dxa"/>
          </w:tcPr>
          <w:p w:rsidR="002F789B" w:rsidRPr="00EC3E41" w:rsidRDefault="006E6627" w:rsidP="002F789B">
            <w:pPr>
              <w:rPr>
                <w:rFonts w:ascii="Verdana" w:hAnsi="Verdana"/>
                <w:color w:val="FFFFFF"/>
                <w:sz w:val="72"/>
                <w:szCs w:val="72"/>
              </w:rPr>
            </w:pPr>
            <w:bookmarkStart w:id="0" w:name="_GoBack"/>
            <w:bookmarkEnd w:id="0"/>
            <w:r>
              <w:rPr>
                <w:rFonts w:ascii="Verdana" w:hAnsi="Verdana"/>
                <w:color w:val="FFFFFF"/>
                <w:sz w:val="72"/>
                <w:szCs w:val="72"/>
              </w:rPr>
              <w:t xml:space="preserve">HRA </w:t>
            </w:r>
            <w:r w:rsidR="00401877">
              <w:rPr>
                <w:rFonts w:ascii="Verdana" w:hAnsi="Verdana"/>
                <w:color w:val="FFFFFF"/>
                <w:sz w:val="72"/>
                <w:szCs w:val="72"/>
              </w:rPr>
              <w:t>Service Charge</w:t>
            </w:r>
            <w:r w:rsidR="00D71A29">
              <w:rPr>
                <w:rFonts w:ascii="Verdana" w:hAnsi="Verdana"/>
                <w:color w:val="FFFFFF"/>
                <w:sz w:val="72"/>
                <w:szCs w:val="72"/>
              </w:rPr>
              <w:t xml:space="preserve"> </w:t>
            </w:r>
            <w:r w:rsidR="002F5EA1">
              <w:rPr>
                <w:rFonts w:ascii="Verdana" w:hAnsi="Verdana"/>
                <w:color w:val="FFFFFF"/>
                <w:sz w:val="72"/>
                <w:szCs w:val="72"/>
              </w:rPr>
              <w:t>P</w:t>
            </w:r>
            <w:r w:rsidR="002F789B" w:rsidRPr="00EC3E41">
              <w:rPr>
                <w:rFonts w:ascii="Verdana" w:hAnsi="Verdana"/>
                <w:color w:val="FFFFFF"/>
                <w:sz w:val="72"/>
                <w:szCs w:val="72"/>
              </w:rPr>
              <w:t>olicy</w:t>
            </w:r>
          </w:p>
        </w:tc>
      </w:tr>
      <w:tr w:rsidR="002F789B" w:rsidTr="002F789B">
        <w:trPr>
          <w:trHeight w:val="2563"/>
        </w:trPr>
        <w:tc>
          <w:tcPr>
            <w:tcW w:w="6281" w:type="dxa"/>
          </w:tcPr>
          <w:p w:rsidR="00D71A29" w:rsidRDefault="00D71A29" w:rsidP="002F789B">
            <w:pPr>
              <w:rPr>
                <w:rFonts w:ascii="Verdana" w:hAnsi="Verdana"/>
                <w:color w:val="FFFFFF"/>
                <w:sz w:val="36"/>
                <w:szCs w:val="36"/>
              </w:rPr>
            </w:pPr>
          </w:p>
          <w:p w:rsidR="002F789B" w:rsidRDefault="002F789B" w:rsidP="002F789B">
            <w:pPr>
              <w:rPr>
                <w:rFonts w:ascii="Verdana" w:hAnsi="Verdana"/>
                <w:color w:val="FFFFFF"/>
                <w:sz w:val="36"/>
                <w:szCs w:val="36"/>
              </w:rPr>
            </w:pPr>
            <w:r w:rsidRPr="002F789B">
              <w:rPr>
                <w:rFonts w:ascii="Verdana" w:hAnsi="Verdana"/>
                <w:color w:val="FFFFFF"/>
                <w:sz w:val="36"/>
                <w:szCs w:val="36"/>
              </w:rPr>
              <w:t>Cornwall Housing</w:t>
            </w:r>
          </w:p>
          <w:p w:rsidR="00086562" w:rsidRDefault="00086562" w:rsidP="002F789B">
            <w:pPr>
              <w:rPr>
                <w:rFonts w:ascii="Verdana" w:hAnsi="Verdana"/>
                <w:color w:val="FFFFFF"/>
                <w:sz w:val="36"/>
                <w:szCs w:val="36"/>
              </w:rPr>
            </w:pPr>
          </w:p>
          <w:p w:rsidR="00086562" w:rsidRPr="005610CA" w:rsidRDefault="00086562" w:rsidP="002F789B">
            <w:pPr>
              <w:rPr>
                <w:rFonts w:ascii="Verdana" w:hAnsi="Verdana"/>
                <w:color w:val="FFFFFF"/>
                <w:sz w:val="36"/>
                <w:szCs w:val="36"/>
              </w:rPr>
            </w:pPr>
            <w:r w:rsidRPr="005610CA">
              <w:rPr>
                <w:rFonts w:ascii="Verdana" w:hAnsi="Verdana"/>
                <w:color w:val="FFFFFF"/>
                <w:sz w:val="36"/>
                <w:szCs w:val="36"/>
              </w:rPr>
              <w:t>Treven Kernow</w:t>
            </w:r>
          </w:p>
        </w:tc>
      </w:tr>
      <w:tr w:rsidR="002F789B" w:rsidTr="002F789B">
        <w:trPr>
          <w:trHeight w:val="573"/>
        </w:trPr>
        <w:tc>
          <w:tcPr>
            <w:tcW w:w="6281" w:type="dxa"/>
          </w:tcPr>
          <w:p w:rsidR="002F789B" w:rsidRPr="002F789B" w:rsidRDefault="00D71A29" w:rsidP="00953A57">
            <w:pPr>
              <w:rPr>
                <w:rFonts w:ascii="Verdana" w:hAnsi="Verdana"/>
                <w:color w:val="FFFFFF"/>
                <w:sz w:val="28"/>
                <w:szCs w:val="28"/>
              </w:rPr>
            </w:pPr>
            <w:r>
              <w:rPr>
                <w:rFonts w:ascii="Verdana" w:hAnsi="Verdana"/>
                <w:color w:val="FFFFFF"/>
                <w:sz w:val="28"/>
                <w:szCs w:val="28"/>
              </w:rPr>
              <w:t xml:space="preserve">Date: </w:t>
            </w:r>
            <w:r w:rsidR="00953A57">
              <w:rPr>
                <w:rFonts w:ascii="Verdana" w:hAnsi="Verdana"/>
                <w:color w:val="FFFFFF"/>
                <w:sz w:val="28"/>
                <w:szCs w:val="28"/>
              </w:rPr>
              <w:t>18.12.18</w:t>
            </w:r>
          </w:p>
        </w:tc>
      </w:tr>
      <w:tr w:rsidR="002F789B" w:rsidTr="002F789B">
        <w:trPr>
          <w:trHeight w:val="527"/>
        </w:trPr>
        <w:tc>
          <w:tcPr>
            <w:tcW w:w="6281" w:type="dxa"/>
          </w:tcPr>
          <w:p w:rsidR="002F789B" w:rsidRPr="002F789B" w:rsidRDefault="00B90145" w:rsidP="00953A57">
            <w:pPr>
              <w:rPr>
                <w:rFonts w:ascii="Verdana" w:hAnsi="Verdana"/>
                <w:color w:val="FFFFFF"/>
                <w:sz w:val="28"/>
                <w:szCs w:val="28"/>
              </w:rPr>
            </w:pPr>
            <w:r>
              <w:rPr>
                <w:rFonts w:ascii="Verdana" w:hAnsi="Verdana"/>
                <w:color w:val="FFFFFF"/>
                <w:sz w:val="28"/>
                <w:szCs w:val="28"/>
              </w:rPr>
              <w:t xml:space="preserve">Version </w:t>
            </w:r>
            <w:r w:rsidR="00953A57">
              <w:rPr>
                <w:rFonts w:ascii="Verdana" w:hAnsi="Verdana"/>
                <w:color w:val="FFFFFF"/>
                <w:sz w:val="28"/>
                <w:szCs w:val="28"/>
              </w:rPr>
              <w:t>1</w:t>
            </w:r>
          </w:p>
        </w:tc>
      </w:tr>
    </w:tbl>
    <w:p w:rsidR="00552460" w:rsidRPr="008D214B" w:rsidRDefault="00552460" w:rsidP="00552460"/>
    <w:p w:rsidR="00552460" w:rsidRPr="008D214B" w:rsidRDefault="00552460" w:rsidP="00552460"/>
    <w:p w:rsidR="00552460" w:rsidRPr="008D214B" w:rsidRDefault="00552460" w:rsidP="00552460"/>
    <w:p w:rsidR="00552460" w:rsidRPr="008D214B" w:rsidRDefault="00552460" w:rsidP="00552460"/>
    <w:p w:rsidR="00552460" w:rsidRPr="008D214B" w:rsidRDefault="00552460" w:rsidP="00552460"/>
    <w:p w:rsidR="00552460" w:rsidRPr="008D214B" w:rsidRDefault="00552460" w:rsidP="00552460"/>
    <w:p w:rsidR="00552460" w:rsidRPr="008D214B" w:rsidRDefault="00552460" w:rsidP="00552460"/>
    <w:p w:rsidR="00552460" w:rsidRPr="008D214B" w:rsidRDefault="00552460" w:rsidP="00552460"/>
    <w:p w:rsidR="00552460" w:rsidRPr="008D214B" w:rsidRDefault="00552460" w:rsidP="00552460"/>
    <w:p w:rsidR="00552460" w:rsidRPr="008D214B" w:rsidRDefault="00552460" w:rsidP="00552460"/>
    <w:p w:rsidR="00552460" w:rsidRPr="008D214B" w:rsidRDefault="00552460" w:rsidP="00552460"/>
    <w:p w:rsidR="00552460" w:rsidRPr="008D214B" w:rsidRDefault="00552460" w:rsidP="00552460"/>
    <w:p w:rsidR="00552460" w:rsidRPr="008D214B" w:rsidRDefault="00552460" w:rsidP="00552460"/>
    <w:p w:rsidR="00552460" w:rsidRPr="008D214B" w:rsidRDefault="00552460" w:rsidP="00552460"/>
    <w:p w:rsidR="00552460" w:rsidRPr="008D214B" w:rsidRDefault="00552460" w:rsidP="00552460"/>
    <w:p w:rsidR="00552460" w:rsidRPr="008D214B" w:rsidRDefault="00552460" w:rsidP="00552460"/>
    <w:p w:rsidR="00552460" w:rsidRPr="008D214B" w:rsidRDefault="00552460" w:rsidP="00552460"/>
    <w:p w:rsidR="00552460" w:rsidRPr="008D214B" w:rsidRDefault="00552460" w:rsidP="00552460"/>
    <w:p w:rsidR="00552460" w:rsidRPr="008D214B" w:rsidRDefault="00552460" w:rsidP="00552460"/>
    <w:p w:rsidR="00552460" w:rsidRPr="008D214B" w:rsidRDefault="00552460" w:rsidP="00552460"/>
    <w:p w:rsidR="00552460" w:rsidRPr="008D214B" w:rsidRDefault="00552460" w:rsidP="00552460"/>
    <w:p w:rsidR="00552460" w:rsidRPr="008D214B" w:rsidRDefault="00552460" w:rsidP="00552460"/>
    <w:p w:rsidR="00552460" w:rsidRPr="008D214B" w:rsidRDefault="00552460" w:rsidP="00552460"/>
    <w:p w:rsidR="00552460" w:rsidRPr="008D214B" w:rsidRDefault="00552460" w:rsidP="00552460"/>
    <w:p w:rsidR="00552460" w:rsidRPr="008D214B" w:rsidRDefault="00552460" w:rsidP="00552460"/>
    <w:p w:rsidR="00552460" w:rsidRPr="008D214B" w:rsidRDefault="00552460" w:rsidP="00552460"/>
    <w:p w:rsidR="00552460" w:rsidRPr="008D214B" w:rsidRDefault="00552460" w:rsidP="00552460"/>
    <w:p w:rsidR="00552460" w:rsidRPr="008D214B" w:rsidRDefault="00552460" w:rsidP="00552460"/>
    <w:p w:rsidR="00552460" w:rsidRPr="008D214B" w:rsidRDefault="00552460" w:rsidP="00552460"/>
    <w:p w:rsidR="00552460" w:rsidRPr="008D214B" w:rsidRDefault="00552460" w:rsidP="00552460"/>
    <w:p w:rsidR="00552460" w:rsidRPr="008D214B" w:rsidRDefault="00552460" w:rsidP="00552460"/>
    <w:p w:rsidR="00552460" w:rsidRPr="008D214B" w:rsidRDefault="00552460" w:rsidP="00552460"/>
    <w:p w:rsidR="00552460" w:rsidRPr="008D214B" w:rsidRDefault="00552460" w:rsidP="00552460"/>
    <w:p w:rsidR="00552460" w:rsidRPr="008D214B" w:rsidRDefault="00552460" w:rsidP="00552460"/>
    <w:p w:rsidR="00552460" w:rsidRPr="008D214B" w:rsidRDefault="00552460" w:rsidP="00552460"/>
    <w:p w:rsidR="00552460" w:rsidRPr="008D214B" w:rsidRDefault="00552460" w:rsidP="00552460"/>
    <w:p w:rsidR="00552460" w:rsidRDefault="00552460" w:rsidP="00552460"/>
    <w:p w:rsidR="008C672B" w:rsidRDefault="008C672B" w:rsidP="00552460"/>
    <w:p w:rsidR="008C672B" w:rsidRDefault="008C672B" w:rsidP="00552460"/>
    <w:p w:rsidR="002F789B" w:rsidRPr="008D214B" w:rsidRDefault="002F789B" w:rsidP="00552460"/>
    <w:p w:rsidR="00552460" w:rsidRPr="008D214B" w:rsidRDefault="00552460" w:rsidP="00552460"/>
    <w:p w:rsidR="00552460" w:rsidRPr="008D214B" w:rsidRDefault="00552460" w:rsidP="00552460"/>
    <w:p w:rsidR="00552460" w:rsidRPr="008D214B" w:rsidRDefault="00552460" w:rsidP="00552460"/>
    <w:p w:rsidR="00552460" w:rsidRPr="008D214B" w:rsidRDefault="00552460" w:rsidP="00552460"/>
    <w:p w:rsidR="00552460" w:rsidRDefault="00552460" w:rsidP="00552460"/>
    <w:p w:rsidR="009625E6" w:rsidRDefault="009625E6" w:rsidP="00552460"/>
    <w:p w:rsidR="009625E6" w:rsidRDefault="009625E6" w:rsidP="00552460"/>
    <w:p w:rsidR="00FB722D" w:rsidRDefault="00F67A58" w:rsidP="002F789B">
      <w:pPr>
        <w:rPr>
          <w:rFonts w:ascii="Verdana" w:hAnsi="Verdana"/>
          <w:b/>
          <w:color w:val="EE6821"/>
        </w:rPr>
        <w:sectPr w:rsidR="00FB722D" w:rsidSect="00CF2E8B">
          <w:headerReference w:type="even" r:id="rId9"/>
          <w:footerReference w:type="even" r:id="rId10"/>
          <w:footerReference w:type="default" r:id="rId11"/>
          <w:footerReference w:type="first" r:id="rId12"/>
          <w:pgSz w:w="11904" w:h="16834"/>
          <w:pgMar w:top="1701" w:right="1701" w:bottom="1361" w:left="1701" w:header="454" w:footer="454" w:gutter="0"/>
          <w:pgNumType w:start="1"/>
          <w:cols w:space="708"/>
          <w:titlePg/>
        </w:sectPr>
      </w:pPr>
      <w:r>
        <w:rPr>
          <w:noProof/>
          <w:lang w:eastAsia="en-GB"/>
        </w:rPr>
        <w:drawing>
          <wp:anchor distT="0" distB="0" distL="114300" distR="114300" simplePos="0" relativeHeight="251655680" behindDoc="1" locked="1" layoutInCell="1" allowOverlap="1" wp14:anchorId="3DFD34C6" wp14:editId="35DE5F6E">
            <wp:simplePos x="0" y="0"/>
            <wp:positionH relativeFrom="column">
              <wp:posOffset>3733800</wp:posOffset>
            </wp:positionH>
            <wp:positionV relativeFrom="page">
              <wp:posOffset>8346440</wp:posOffset>
            </wp:positionV>
            <wp:extent cx="2044700" cy="1861185"/>
            <wp:effectExtent l="0" t="0" r="0" b="5715"/>
            <wp:wrapNone/>
            <wp:docPr id="3" name="Picture 3" descr="CH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 logo rg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4700" cy="186118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Toc70571705"/>
      <w:bookmarkStart w:id="2" w:name="_Toc99515005"/>
      <w:bookmarkStart w:id="3" w:name="_Toc100055396"/>
    </w:p>
    <w:p w:rsidR="005610CA" w:rsidRPr="002B5686" w:rsidRDefault="002B5686" w:rsidP="002F789B">
      <w:pPr>
        <w:rPr>
          <w:rFonts w:ascii="Verdana" w:hAnsi="Verdana"/>
          <w:b/>
        </w:rPr>
      </w:pPr>
      <w:r w:rsidRPr="002B5686">
        <w:rPr>
          <w:rFonts w:ascii="Verdana" w:hAnsi="Verdana"/>
          <w:b/>
        </w:rPr>
        <w:lastRenderedPageBreak/>
        <w:t>Policy control sheet</w:t>
      </w:r>
    </w:p>
    <w:p w:rsidR="002B5686" w:rsidRDefault="002B5686" w:rsidP="002F789B">
      <w:pPr>
        <w:rPr>
          <w:rFonts w:ascii="Verdana" w:hAnsi="Verdana"/>
          <w:b/>
          <w:color w:val="EE6821"/>
        </w:rPr>
      </w:pPr>
    </w:p>
    <w:tbl>
      <w:tblPr>
        <w:tblStyle w:val="TableGrid"/>
        <w:tblW w:w="0" w:type="auto"/>
        <w:tblLook w:val="01E0" w:firstRow="1" w:lastRow="1" w:firstColumn="1" w:lastColumn="1" w:noHBand="0" w:noVBand="0"/>
      </w:tblPr>
      <w:tblGrid>
        <w:gridCol w:w="4359"/>
        <w:gridCol w:w="4359"/>
      </w:tblGrid>
      <w:tr w:rsidR="00CF2E8B" w:rsidTr="00CF2E8B">
        <w:trPr>
          <w:trHeight w:val="552"/>
        </w:trPr>
        <w:tc>
          <w:tcPr>
            <w:tcW w:w="8718" w:type="dxa"/>
            <w:gridSpan w:val="2"/>
            <w:shd w:val="clear" w:color="auto" w:fill="FF6600"/>
            <w:vAlign w:val="center"/>
          </w:tcPr>
          <w:p w:rsidR="00CF2E8B" w:rsidRPr="00CF2E8B" w:rsidRDefault="00CF2E8B" w:rsidP="00CF2E8B">
            <w:pPr>
              <w:rPr>
                <w:rFonts w:ascii="Verdana" w:hAnsi="Verdana"/>
                <w:b/>
                <w:color w:val="FFFFFF"/>
                <w:sz w:val="28"/>
                <w:szCs w:val="28"/>
              </w:rPr>
            </w:pPr>
            <w:r w:rsidRPr="00CF2E8B">
              <w:rPr>
                <w:rFonts w:ascii="Verdana" w:hAnsi="Verdana"/>
                <w:b/>
                <w:color w:val="FFFFFF"/>
                <w:sz w:val="28"/>
                <w:szCs w:val="28"/>
              </w:rPr>
              <w:t>Current Document Status</w:t>
            </w:r>
          </w:p>
        </w:tc>
      </w:tr>
      <w:tr w:rsidR="00CF2E8B" w:rsidTr="00CF2E8B">
        <w:trPr>
          <w:trHeight w:val="560"/>
        </w:trPr>
        <w:tc>
          <w:tcPr>
            <w:tcW w:w="4359" w:type="dxa"/>
            <w:vAlign w:val="center"/>
          </w:tcPr>
          <w:p w:rsidR="00CF2E8B" w:rsidRPr="00CF2E8B" w:rsidRDefault="00CF2E8B" w:rsidP="00CF2E8B">
            <w:pPr>
              <w:rPr>
                <w:rFonts w:ascii="Verdana" w:hAnsi="Verdana"/>
                <w:sz w:val="20"/>
              </w:rPr>
            </w:pPr>
            <w:r w:rsidRPr="00CF2E8B">
              <w:rPr>
                <w:rFonts w:ascii="Verdana" w:hAnsi="Verdana"/>
                <w:sz w:val="20"/>
              </w:rPr>
              <w:t>Status</w:t>
            </w:r>
          </w:p>
        </w:tc>
        <w:tc>
          <w:tcPr>
            <w:tcW w:w="4359" w:type="dxa"/>
            <w:vAlign w:val="center"/>
          </w:tcPr>
          <w:p w:rsidR="00CF2E8B" w:rsidRDefault="00401877" w:rsidP="00CF2E8B">
            <w:pPr>
              <w:rPr>
                <w:rFonts w:ascii="Verdana" w:hAnsi="Verdana"/>
                <w:b/>
                <w:color w:val="EE6821"/>
              </w:rPr>
            </w:pPr>
            <w:r>
              <w:rPr>
                <w:rFonts w:ascii="Verdana" w:hAnsi="Verdana"/>
                <w:b/>
                <w:color w:val="EE6821"/>
              </w:rPr>
              <w:t>Draft</w:t>
            </w:r>
          </w:p>
        </w:tc>
      </w:tr>
      <w:tr w:rsidR="00CF2E8B" w:rsidTr="00CF2E8B">
        <w:trPr>
          <w:trHeight w:val="554"/>
        </w:trPr>
        <w:tc>
          <w:tcPr>
            <w:tcW w:w="4359" w:type="dxa"/>
            <w:vAlign w:val="center"/>
          </w:tcPr>
          <w:p w:rsidR="00CF2E8B" w:rsidRPr="00CF2E8B" w:rsidRDefault="00CF2E8B" w:rsidP="00CF2E8B">
            <w:pPr>
              <w:rPr>
                <w:rFonts w:ascii="Verdana" w:hAnsi="Verdana"/>
                <w:sz w:val="20"/>
              </w:rPr>
            </w:pPr>
            <w:r w:rsidRPr="00CF2E8B">
              <w:rPr>
                <w:rFonts w:ascii="Verdana" w:hAnsi="Verdana"/>
                <w:sz w:val="20"/>
              </w:rPr>
              <w:t>Reference</w:t>
            </w:r>
          </w:p>
        </w:tc>
        <w:tc>
          <w:tcPr>
            <w:tcW w:w="4359" w:type="dxa"/>
            <w:vAlign w:val="center"/>
          </w:tcPr>
          <w:p w:rsidR="00CF2E8B" w:rsidRDefault="006E6627" w:rsidP="00CF2E8B">
            <w:pPr>
              <w:rPr>
                <w:rFonts w:ascii="Verdana" w:hAnsi="Verdana"/>
                <w:b/>
                <w:color w:val="EE6821"/>
              </w:rPr>
            </w:pPr>
            <w:r>
              <w:rPr>
                <w:rFonts w:ascii="Verdana" w:hAnsi="Verdana"/>
                <w:b/>
                <w:color w:val="EE6821"/>
              </w:rPr>
              <w:t>HRA Service Charge Policy</w:t>
            </w:r>
          </w:p>
        </w:tc>
      </w:tr>
      <w:tr w:rsidR="00CF2E8B" w:rsidTr="00CF2E8B">
        <w:trPr>
          <w:trHeight w:val="547"/>
        </w:trPr>
        <w:tc>
          <w:tcPr>
            <w:tcW w:w="4359" w:type="dxa"/>
            <w:vAlign w:val="center"/>
          </w:tcPr>
          <w:p w:rsidR="00CF2E8B" w:rsidRPr="00CF2E8B" w:rsidRDefault="00CF2E8B" w:rsidP="00CF2E8B">
            <w:pPr>
              <w:rPr>
                <w:rFonts w:ascii="Verdana" w:hAnsi="Verdana"/>
                <w:sz w:val="20"/>
              </w:rPr>
            </w:pPr>
            <w:r w:rsidRPr="00CF2E8B">
              <w:rPr>
                <w:rFonts w:ascii="Verdana" w:hAnsi="Verdana"/>
                <w:sz w:val="20"/>
              </w:rPr>
              <w:t>Last reviewed</w:t>
            </w:r>
          </w:p>
        </w:tc>
        <w:tc>
          <w:tcPr>
            <w:tcW w:w="4359" w:type="dxa"/>
            <w:vAlign w:val="center"/>
          </w:tcPr>
          <w:p w:rsidR="00CF2E8B" w:rsidRDefault="00953A57" w:rsidP="00CF2E8B">
            <w:pPr>
              <w:rPr>
                <w:rFonts w:ascii="Verdana" w:hAnsi="Verdana"/>
                <w:b/>
                <w:color w:val="EE6821"/>
              </w:rPr>
            </w:pPr>
            <w:r>
              <w:rPr>
                <w:rFonts w:ascii="Verdana" w:hAnsi="Verdana"/>
                <w:b/>
                <w:color w:val="EE6821"/>
              </w:rPr>
              <w:t>18.12.18</w:t>
            </w:r>
          </w:p>
        </w:tc>
      </w:tr>
      <w:tr w:rsidR="00CF2E8B" w:rsidTr="00CF2E8B">
        <w:trPr>
          <w:trHeight w:val="569"/>
        </w:trPr>
        <w:tc>
          <w:tcPr>
            <w:tcW w:w="4359" w:type="dxa"/>
            <w:vAlign w:val="center"/>
          </w:tcPr>
          <w:p w:rsidR="00CF2E8B" w:rsidRPr="00CF2E8B" w:rsidRDefault="00CF2E8B" w:rsidP="00CF2E8B">
            <w:pPr>
              <w:rPr>
                <w:rFonts w:ascii="Verdana" w:hAnsi="Verdana"/>
                <w:sz w:val="20"/>
              </w:rPr>
            </w:pPr>
            <w:r w:rsidRPr="00CF2E8B">
              <w:rPr>
                <w:rFonts w:ascii="Verdana" w:hAnsi="Verdana"/>
                <w:sz w:val="20"/>
              </w:rPr>
              <w:t>Document type</w:t>
            </w:r>
          </w:p>
        </w:tc>
        <w:tc>
          <w:tcPr>
            <w:tcW w:w="4359" w:type="dxa"/>
            <w:vAlign w:val="center"/>
          </w:tcPr>
          <w:p w:rsidR="00CF2E8B" w:rsidRDefault="00401877" w:rsidP="00CF2E8B">
            <w:pPr>
              <w:rPr>
                <w:rFonts w:ascii="Verdana" w:hAnsi="Verdana"/>
                <w:b/>
                <w:color w:val="EE6821"/>
              </w:rPr>
            </w:pPr>
            <w:r>
              <w:rPr>
                <w:rFonts w:ascii="Verdana" w:hAnsi="Verdana"/>
                <w:b/>
                <w:color w:val="EE6821"/>
              </w:rPr>
              <w:t>Policy</w:t>
            </w:r>
          </w:p>
        </w:tc>
      </w:tr>
      <w:tr w:rsidR="00CF2E8B" w:rsidTr="00CF2E8B">
        <w:trPr>
          <w:trHeight w:val="561"/>
        </w:trPr>
        <w:tc>
          <w:tcPr>
            <w:tcW w:w="4359" w:type="dxa"/>
            <w:vAlign w:val="center"/>
          </w:tcPr>
          <w:p w:rsidR="00CF2E8B" w:rsidRPr="00CF2E8B" w:rsidRDefault="00CF2E8B" w:rsidP="00CF2E8B">
            <w:pPr>
              <w:rPr>
                <w:rFonts w:ascii="Verdana" w:hAnsi="Verdana"/>
                <w:sz w:val="20"/>
              </w:rPr>
            </w:pPr>
            <w:r w:rsidRPr="00CF2E8B">
              <w:rPr>
                <w:rFonts w:ascii="Verdana" w:hAnsi="Verdana"/>
                <w:sz w:val="20"/>
              </w:rPr>
              <w:t>Document Location</w:t>
            </w:r>
          </w:p>
        </w:tc>
        <w:tc>
          <w:tcPr>
            <w:tcW w:w="4359" w:type="dxa"/>
            <w:vAlign w:val="center"/>
          </w:tcPr>
          <w:p w:rsidR="00CF2E8B" w:rsidRDefault="00401877" w:rsidP="00CF2E8B">
            <w:pPr>
              <w:rPr>
                <w:rFonts w:ascii="Verdana" w:hAnsi="Verdana"/>
                <w:b/>
                <w:color w:val="EE6821"/>
              </w:rPr>
            </w:pPr>
            <w:r w:rsidRPr="00401877">
              <w:rPr>
                <w:rFonts w:ascii="Verdana" w:hAnsi="Verdana"/>
                <w:b/>
                <w:color w:val="EE6821"/>
              </w:rPr>
              <w:t>S:\Policy Procedure Process\Policy</w:t>
            </w:r>
            <w:r w:rsidR="00483D42">
              <w:rPr>
                <w:rFonts w:ascii="Verdana" w:hAnsi="Verdana"/>
                <w:b/>
                <w:color w:val="EE6821"/>
              </w:rPr>
              <w:t>\Service Charge Policy</w:t>
            </w:r>
          </w:p>
        </w:tc>
      </w:tr>
      <w:tr w:rsidR="00CF2E8B" w:rsidTr="00CF2E8B">
        <w:trPr>
          <w:trHeight w:val="555"/>
        </w:trPr>
        <w:tc>
          <w:tcPr>
            <w:tcW w:w="4359" w:type="dxa"/>
            <w:vAlign w:val="center"/>
          </w:tcPr>
          <w:p w:rsidR="00CF2E8B" w:rsidRPr="00CF2E8B" w:rsidRDefault="00CF2E8B" w:rsidP="00CF2E8B">
            <w:pPr>
              <w:rPr>
                <w:rFonts w:ascii="Verdana" w:hAnsi="Verdana"/>
                <w:sz w:val="20"/>
              </w:rPr>
            </w:pPr>
            <w:r w:rsidRPr="00CF2E8B">
              <w:rPr>
                <w:rFonts w:ascii="Verdana" w:hAnsi="Verdana"/>
                <w:sz w:val="20"/>
              </w:rPr>
              <w:t>Area Applicable</w:t>
            </w:r>
          </w:p>
        </w:tc>
        <w:tc>
          <w:tcPr>
            <w:tcW w:w="4359" w:type="dxa"/>
            <w:vAlign w:val="center"/>
          </w:tcPr>
          <w:p w:rsidR="00CF2E8B" w:rsidRDefault="00401877" w:rsidP="00CF2E8B">
            <w:pPr>
              <w:rPr>
                <w:rFonts w:ascii="Verdana" w:hAnsi="Verdana"/>
                <w:b/>
                <w:color w:val="EE6821"/>
              </w:rPr>
            </w:pPr>
            <w:r>
              <w:rPr>
                <w:rFonts w:ascii="Verdana" w:hAnsi="Verdana"/>
                <w:b/>
                <w:color w:val="EE6821"/>
              </w:rPr>
              <w:t>CHL – Landlord Services</w:t>
            </w:r>
          </w:p>
        </w:tc>
      </w:tr>
    </w:tbl>
    <w:p w:rsidR="00FB722D" w:rsidRDefault="00FB722D" w:rsidP="002F789B">
      <w:pPr>
        <w:rPr>
          <w:rFonts w:ascii="Verdana" w:hAnsi="Verdana"/>
          <w:b/>
          <w:color w:val="EE6821"/>
        </w:rPr>
      </w:pPr>
    </w:p>
    <w:tbl>
      <w:tblPr>
        <w:tblStyle w:val="TableGrid"/>
        <w:tblW w:w="8897" w:type="dxa"/>
        <w:tblLayout w:type="fixed"/>
        <w:tblLook w:val="01E0" w:firstRow="1" w:lastRow="1" w:firstColumn="1" w:lastColumn="1" w:noHBand="0" w:noVBand="0"/>
      </w:tblPr>
      <w:tblGrid>
        <w:gridCol w:w="1206"/>
        <w:gridCol w:w="1415"/>
        <w:gridCol w:w="1232"/>
        <w:gridCol w:w="933"/>
        <w:gridCol w:w="1701"/>
        <w:gridCol w:w="1134"/>
        <w:gridCol w:w="1276"/>
      </w:tblGrid>
      <w:tr w:rsidR="00CF2E8B" w:rsidRPr="00CF2E8B" w:rsidTr="00D840B3">
        <w:trPr>
          <w:trHeight w:val="659"/>
        </w:trPr>
        <w:tc>
          <w:tcPr>
            <w:tcW w:w="8897" w:type="dxa"/>
            <w:gridSpan w:val="7"/>
            <w:shd w:val="clear" w:color="auto" w:fill="FF6600"/>
            <w:vAlign w:val="center"/>
          </w:tcPr>
          <w:p w:rsidR="00CF2E8B" w:rsidRPr="00CF2E8B" w:rsidRDefault="00CF2E8B" w:rsidP="00CF2E8B">
            <w:pPr>
              <w:rPr>
                <w:rFonts w:ascii="Verdana" w:hAnsi="Verdana"/>
                <w:b/>
                <w:color w:val="FFFFFF"/>
                <w:sz w:val="28"/>
                <w:szCs w:val="28"/>
              </w:rPr>
            </w:pPr>
            <w:r w:rsidRPr="00CF2E8B">
              <w:rPr>
                <w:rFonts w:ascii="Verdana" w:hAnsi="Verdana"/>
                <w:b/>
                <w:color w:val="FFFFFF"/>
                <w:sz w:val="28"/>
                <w:szCs w:val="28"/>
              </w:rPr>
              <w:t>Version History</w:t>
            </w:r>
          </w:p>
        </w:tc>
      </w:tr>
      <w:tr w:rsidR="00CF2E8B" w:rsidTr="00953A57">
        <w:trPr>
          <w:trHeight w:val="555"/>
        </w:trPr>
        <w:tc>
          <w:tcPr>
            <w:tcW w:w="1206" w:type="dxa"/>
            <w:vAlign w:val="center"/>
          </w:tcPr>
          <w:p w:rsidR="00CF2E8B" w:rsidRPr="00CF2E8B" w:rsidRDefault="00CF2E8B" w:rsidP="00CF2E8B">
            <w:pPr>
              <w:jc w:val="center"/>
              <w:rPr>
                <w:rFonts w:ascii="Verdana" w:hAnsi="Verdana"/>
                <w:sz w:val="20"/>
              </w:rPr>
            </w:pPr>
            <w:r w:rsidRPr="00CF2E8B">
              <w:rPr>
                <w:rFonts w:ascii="Verdana" w:hAnsi="Verdana"/>
                <w:sz w:val="20"/>
              </w:rPr>
              <w:t>Version</w:t>
            </w:r>
          </w:p>
        </w:tc>
        <w:tc>
          <w:tcPr>
            <w:tcW w:w="1415" w:type="dxa"/>
            <w:vAlign w:val="center"/>
          </w:tcPr>
          <w:p w:rsidR="00CF2E8B" w:rsidRPr="00CF2E8B" w:rsidRDefault="00CF2E8B" w:rsidP="00CF2E8B">
            <w:pPr>
              <w:jc w:val="center"/>
              <w:rPr>
                <w:rFonts w:ascii="Verdana" w:hAnsi="Verdana"/>
                <w:sz w:val="20"/>
              </w:rPr>
            </w:pPr>
            <w:r w:rsidRPr="00CF2E8B">
              <w:rPr>
                <w:rFonts w:ascii="Verdana" w:hAnsi="Verdana"/>
                <w:sz w:val="20"/>
              </w:rPr>
              <w:t>Version created</w:t>
            </w:r>
          </w:p>
        </w:tc>
        <w:tc>
          <w:tcPr>
            <w:tcW w:w="1232" w:type="dxa"/>
            <w:vAlign w:val="center"/>
          </w:tcPr>
          <w:p w:rsidR="00CF2E8B" w:rsidRPr="00CF2E8B" w:rsidRDefault="00CF2E8B" w:rsidP="00CF2E8B">
            <w:pPr>
              <w:jc w:val="center"/>
              <w:rPr>
                <w:rFonts w:ascii="Verdana" w:hAnsi="Verdana"/>
                <w:sz w:val="20"/>
              </w:rPr>
            </w:pPr>
            <w:r w:rsidRPr="00CF2E8B">
              <w:rPr>
                <w:rFonts w:ascii="Verdana" w:hAnsi="Verdana"/>
                <w:sz w:val="20"/>
              </w:rPr>
              <w:t>Date approved</w:t>
            </w:r>
          </w:p>
        </w:tc>
        <w:tc>
          <w:tcPr>
            <w:tcW w:w="933" w:type="dxa"/>
            <w:vAlign w:val="center"/>
          </w:tcPr>
          <w:p w:rsidR="00CF2E8B" w:rsidRPr="00CF2E8B" w:rsidRDefault="00CF2E8B" w:rsidP="00CF2E8B">
            <w:pPr>
              <w:jc w:val="center"/>
              <w:rPr>
                <w:rFonts w:ascii="Verdana" w:hAnsi="Verdana"/>
                <w:sz w:val="20"/>
              </w:rPr>
            </w:pPr>
            <w:r w:rsidRPr="00CF2E8B">
              <w:rPr>
                <w:rFonts w:ascii="Verdana" w:hAnsi="Verdana"/>
                <w:sz w:val="20"/>
              </w:rPr>
              <w:t>Date for review</w:t>
            </w:r>
          </w:p>
        </w:tc>
        <w:tc>
          <w:tcPr>
            <w:tcW w:w="1701" w:type="dxa"/>
            <w:vAlign w:val="center"/>
          </w:tcPr>
          <w:p w:rsidR="00CF2E8B" w:rsidRPr="00CF2E8B" w:rsidRDefault="00CF2E8B" w:rsidP="00CF2E8B">
            <w:pPr>
              <w:jc w:val="center"/>
              <w:rPr>
                <w:rFonts w:ascii="Verdana" w:hAnsi="Verdana"/>
                <w:sz w:val="20"/>
              </w:rPr>
            </w:pPr>
            <w:r w:rsidRPr="00CF2E8B">
              <w:rPr>
                <w:rFonts w:ascii="Verdana" w:hAnsi="Verdana"/>
                <w:sz w:val="20"/>
              </w:rPr>
              <w:t>Author/s</w:t>
            </w:r>
          </w:p>
        </w:tc>
        <w:tc>
          <w:tcPr>
            <w:tcW w:w="1134" w:type="dxa"/>
            <w:vAlign w:val="center"/>
          </w:tcPr>
          <w:p w:rsidR="00CF2E8B" w:rsidRPr="00CF2E8B" w:rsidRDefault="00CF2E8B" w:rsidP="00CF2E8B">
            <w:pPr>
              <w:jc w:val="center"/>
              <w:rPr>
                <w:rFonts w:ascii="Verdana" w:hAnsi="Verdana"/>
                <w:sz w:val="20"/>
              </w:rPr>
            </w:pPr>
            <w:r w:rsidRPr="00CF2E8B">
              <w:rPr>
                <w:rFonts w:ascii="Verdana" w:hAnsi="Verdana"/>
                <w:sz w:val="20"/>
              </w:rPr>
              <w:t>Approved by</w:t>
            </w:r>
          </w:p>
        </w:tc>
        <w:tc>
          <w:tcPr>
            <w:tcW w:w="1276" w:type="dxa"/>
            <w:vAlign w:val="center"/>
          </w:tcPr>
          <w:p w:rsidR="00CF2E8B" w:rsidRPr="00CF2E8B" w:rsidRDefault="00CF2E8B" w:rsidP="00CF2E8B">
            <w:pPr>
              <w:jc w:val="center"/>
              <w:rPr>
                <w:rFonts w:ascii="Verdana" w:hAnsi="Verdana"/>
                <w:sz w:val="20"/>
              </w:rPr>
            </w:pPr>
            <w:r w:rsidRPr="00CF2E8B">
              <w:rPr>
                <w:rFonts w:ascii="Verdana" w:hAnsi="Verdana"/>
                <w:sz w:val="20"/>
              </w:rPr>
              <w:t>Revised by</w:t>
            </w:r>
          </w:p>
        </w:tc>
      </w:tr>
      <w:tr w:rsidR="00CF2E8B" w:rsidTr="00953A57">
        <w:trPr>
          <w:trHeight w:val="563"/>
        </w:trPr>
        <w:tc>
          <w:tcPr>
            <w:tcW w:w="1206" w:type="dxa"/>
            <w:vAlign w:val="center"/>
          </w:tcPr>
          <w:p w:rsidR="00CF2E8B" w:rsidRPr="00CF2E8B" w:rsidRDefault="00B90145" w:rsidP="00CF2E8B">
            <w:pPr>
              <w:jc w:val="center"/>
              <w:rPr>
                <w:rFonts w:ascii="Verdana" w:hAnsi="Verdana"/>
                <w:sz w:val="20"/>
              </w:rPr>
            </w:pPr>
            <w:r>
              <w:rPr>
                <w:rFonts w:ascii="Verdana" w:hAnsi="Verdana"/>
                <w:sz w:val="20"/>
              </w:rPr>
              <w:t>0.</w:t>
            </w:r>
            <w:r w:rsidR="00401877">
              <w:rPr>
                <w:rFonts w:ascii="Verdana" w:hAnsi="Verdana"/>
                <w:sz w:val="20"/>
              </w:rPr>
              <w:t>1</w:t>
            </w:r>
          </w:p>
        </w:tc>
        <w:tc>
          <w:tcPr>
            <w:tcW w:w="1415" w:type="dxa"/>
            <w:vAlign w:val="center"/>
          </w:tcPr>
          <w:p w:rsidR="00CF2E8B" w:rsidRPr="00CF2E8B" w:rsidRDefault="00B01B56" w:rsidP="00CF2E8B">
            <w:pPr>
              <w:jc w:val="center"/>
              <w:rPr>
                <w:rFonts w:ascii="Verdana" w:hAnsi="Verdana"/>
                <w:sz w:val="20"/>
              </w:rPr>
            </w:pPr>
            <w:r>
              <w:rPr>
                <w:rFonts w:ascii="Verdana" w:hAnsi="Verdana"/>
                <w:sz w:val="20"/>
              </w:rPr>
              <w:t>07/08</w:t>
            </w:r>
            <w:r w:rsidR="00401877">
              <w:rPr>
                <w:rFonts w:ascii="Verdana" w:hAnsi="Verdana"/>
                <w:sz w:val="20"/>
              </w:rPr>
              <w:t>/2017</w:t>
            </w:r>
          </w:p>
        </w:tc>
        <w:tc>
          <w:tcPr>
            <w:tcW w:w="1232" w:type="dxa"/>
            <w:vAlign w:val="center"/>
          </w:tcPr>
          <w:p w:rsidR="00CF2E8B" w:rsidRPr="00CF2E8B" w:rsidRDefault="00CF2E8B" w:rsidP="00CF2E8B">
            <w:pPr>
              <w:jc w:val="center"/>
              <w:rPr>
                <w:rFonts w:ascii="Verdana" w:hAnsi="Verdana"/>
                <w:sz w:val="20"/>
              </w:rPr>
            </w:pPr>
          </w:p>
        </w:tc>
        <w:tc>
          <w:tcPr>
            <w:tcW w:w="933" w:type="dxa"/>
            <w:vAlign w:val="center"/>
          </w:tcPr>
          <w:p w:rsidR="00CF2E8B" w:rsidRPr="00CF2E8B" w:rsidRDefault="00CF2E8B" w:rsidP="00CF2E8B">
            <w:pPr>
              <w:jc w:val="center"/>
              <w:rPr>
                <w:rFonts w:ascii="Verdana" w:hAnsi="Verdana"/>
                <w:sz w:val="20"/>
              </w:rPr>
            </w:pPr>
          </w:p>
        </w:tc>
        <w:tc>
          <w:tcPr>
            <w:tcW w:w="1701" w:type="dxa"/>
            <w:vAlign w:val="center"/>
          </w:tcPr>
          <w:p w:rsidR="00CF2E8B" w:rsidRPr="00CF2E8B" w:rsidRDefault="00401877" w:rsidP="00CF2E8B">
            <w:pPr>
              <w:jc w:val="center"/>
              <w:rPr>
                <w:rFonts w:ascii="Verdana" w:hAnsi="Verdana"/>
                <w:sz w:val="20"/>
              </w:rPr>
            </w:pPr>
            <w:r>
              <w:rPr>
                <w:rFonts w:ascii="Verdana" w:hAnsi="Verdana"/>
                <w:sz w:val="20"/>
              </w:rPr>
              <w:t>Ian Harries</w:t>
            </w:r>
          </w:p>
        </w:tc>
        <w:tc>
          <w:tcPr>
            <w:tcW w:w="1134" w:type="dxa"/>
            <w:vAlign w:val="center"/>
          </w:tcPr>
          <w:p w:rsidR="00CF2E8B" w:rsidRPr="00CF2E8B" w:rsidRDefault="00CF2E8B" w:rsidP="00CF2E8B">
            <w:pPr>
              <w:jc w:val="center"/>
              <w:rPr>
                <w:rFonts w:ascii="Verdana" w:hAnsi="Verdana"/>
                <w:sz w:val="20"/>
              </w:rPr>
            </w:pPr>
          </w:p>
        </w:tc>
        <w:tc>
          <w:tcPr>
            <w:tcW w:w="1276" w:type="dxa"/>
            <w:vAlign w:val="center"/>
          </w:tcPr>
          <w:p w:rsidR="00CF2E8B" w:rsidRPr="00CF2E8B" w:rsidRDefault="00CF2E8B" w:rsidP="00CF2E8B">
            <w:pPr>
              <w:jc w:val="center"/>
              <w:rPr>
                <w:rFonts w:ascii="Verdana" w:hAnsi="Verdana"/>
                <w:sz w:val="20"/>
              </w:rPr>
            </w:pPr>
          </w:p>
        </w:tc>
      </w:tr>
      <w:tr w:rsidR="00B01B56" w:rsidTr="00953A57">
        <w:trPr>
          <w:trHeight w:val="563"/>
        </w:trPr>
        <w:tc>
          <w:tcPr>
            <w:tcW w:w="1206" w:type="dxa"/>
            <w:vAlign w:val="center"/>
          </w:tcPr>
          <w:p w:rsidR="00B01B56" w:rsidRDefault="00B01B56" w:rsidP="00CF2E8B">
            <w:pPr>
              <w:jc w:val="center"/>
              <w:rPr>
                <w:rFonts w:ascii="Verdana" w:hAnsi="Verdana"/>
                <w:sz w:val="20"/>
              </w:rPr>
            </w:pPr>
            <w:r>
              <w:rPr>
                <w:rFonts w:ascii="Verdana" w:hAnsi="Verdana"/>
                <w:sz w:val="20"/>
              </w:rPr>
              <w:t>0.2</w:t>
            </w:r>
          </w:p>
        </w:tc>
        <w:tc>
          <w:tcPr>
            <w:tcW w:w="1415" w:type="dxa"/>
            <w:vAlign w:val="center"/>
          </w:tcPr>
          <w:p w:rsidR="00B01B56" w:rsidRDefault="00B01B56" w:rsidP="00CF2E8B">
            <w:pPr>
              <w:jc w:val="center"/>
              <w:rPr>
                <w:rFonts w:ascii="Verdana" w:hAnsi="Verdana"/>
                <w:sz w:val="20"/>
              </w:rPr>
            </w:pPr>
            <w:r>
              <w:rPr>
                <w:rFonts w:ascii="Verdana" w:hAnsi="Verdana"/>
                <w:sz w:val="20"/>
              </w:rPr>
              <w:t>04/09/2017</w:t>
            </w:r>
          </w:p>
        </w:tc>
        <w:tc>
          <w:tcPr>
            <w:tcW w:w="1232" w:type="dxa"/>
            <w:vAlign w:val="center"/>
          </w:tcPr>
          <w:p w:rsidR="00B01B56" w:rsidRPr="00CF2E8B" w:rsidRDefault="00B01B56" w:rsidP="00CF2E8B">
            <w:pPr>
              <w:jc w:val="center"/>
              <w:rPr>
                <w:rFonts w:ascii="Verdana" w:hAnsi="Verdana"/>
                <w:sz w:val="20"/>
              </w:rPr>
            </w:pPr>
          </w:p>
        </w:tc>
        <w:tc>
          <w:tcPr>
            <w:tcW w:w="933" w:type="dxa"/>
            <w:vAlign w:val="center"/>
          </w:tcPr>
          <w:p w:rsidR="00B01B56" w:rsidRPr="00CF2E8B" w:rsidRDefault="00B01B56" w:rsidP="00CF2E8B">
            <w:pPr>
              <w:jc w:val="center"/>
              <w:rPr>
                <w:rFonts w:ascii="Verdana" w:hAnsi="Verdana"/>
                <w:sz w:val="20"/>
              </w:rPr>
            </w:pPr>
          </w:p>
        </w:tc>
        <w:tc>
          <w:tcPr>
            <w:tcW w:w="1701" w:type="dxa"/>
            <w:vAlign w:val="center"/>
          </w:tcPr>
          <w:p w:rsidR="00B01B56" w:rsidRDefault="00B01B56" w:rsidP="00CF2E8B">
            <w:pPr>
              <w:jc w:val="center"/>
              <w:rPr>
                <w:rFonts w:ascii="Verdana" w:hAnsi="Verdana"/>
                <w:sz w:val="20"/>
              </w:rPr>
            </w:pPr>
            <w:r>
              <w:rPr>
                <w:rFonts w:ascii="Verdana" w:hAnsi="Verdana"/>
                <w:sz w:val="20"/>
              </w:rPr>
              <w:t>Ian Harries</w:t>
            </w:r>
          </w:p>
        </w:tc>
        <w:tc>
          <w:tcPr>
            <w:tcW w:w="1134" w:type="dxa"/>
            <w:vAlign w:val="center"/>
          </w:tcPr>
          <w:p w:rsidR="00B01B56" w:rsidRPr="00CF2E8B" w:rsidRDefault="00B01B56" w:rsidP="00CF2E8B">
            <w:pPr>
              <w:jc w:val="center"/>
              <w:rPr>
                <w:rFonts w:ascii="Verdana" w:hAnsi="Verdana"/>
                <w:sz w:val="20"/>
              </w:rPr>
            </w:pPr>
          </w:p>
        </w:tc>
        <w:tc>
          <w:tcPr>
            <w:tcW w:w="1276" w:type="dxa"/>
            <w:vAlign w:val="center"/>
          </w:tcPr>
          <w:p w:rsidR="00B01B56" w:rsidRPr="00CF2E8B" w:rsidRDefault="00B01B56" w:rsidP="00CF2E8B">
            <w:pPr>
              <w:jc w:val="center"/>
              <w:rPr>
                <w:rFonts w:ascii="Verdana" w:hAnsi="Verdana"/>
                <w:sz w:val="20"/>
              </w:rPr>
            </w:pPr>
          </w:p>
        </w:tc>
      </w:tr>
      <w:tr w:rsidR="00483D42" w:rsidTr="00953A57">
        <w:trPr>
          <w:trHeight w:val="563"/>
        </w:trPr>
        <w:tc>
          <w:tcPr>
            <w:tcW w:w="1206" w:type="dxa"/>
            <w:vAlign w:val="center"/>
          </w:tcPr>
          <w:p w:rsidR="00483D42" w:rsidRDefault="00483D42" w:rsidP="00CF2E8B">
            <w:pPr>
              <w:jc w:val="center"/>
              <w:rPr>
                <w:rFonts w:ascii="Verdana" w:hAnsi="Verdana"/>
                <w:sz w:val="20"/>
              </w:rPr>
            </w:pPr>
            <w:r>
              <w:rPr>
                <w:rFonts w:ascii="Verdana" w:hAnsi="Verdana"/>
                <w:sz w:val="20"/>
              </w:rPr>
              <w:t>0.3</w:t>
            </w:r>
          </w:p>
        </w:tc>
        <w:tc>
          <w:tcPr>
            <w:tcW w:w="1415" w:type="dxa"/>
            <w:vAlign w:val="center"/>
          </w:tcPr>
          <w:p w:rsidR="00483D42" w:rsidRDefault="00483D42" w:rsidP="00CF2E8B">
            <w:pPr>
              <w:jc w:val="center"/>
              <w:rPr>
                <w:rFonts w:ascii="Verdana" w:hAnsi="Verdana"/>
                <w:sz w:val="20"/>
              </w:rPr>
            </w:pPr>
            <w:r>
              <w:rPr>
                <w:rFonts w:ascii="Verdana" w:hAnsi="Verdana"/>
                <w:sz w:val="20"/>
              </w:rPr>
              <w:t>21/06/2018</w:t>
            </w:r>
          </w:p>
        </w:tc>
        <w:tc>
          <w:tcPr>
            <w:tcW w:w="1232" w:type="dxa"/>
            <w:vAlign w:val="center"/>
          </w:tcPr>
          <w:p w:rsidR="00483D42" w:rsidRPr="00CF2E8B" w:rsidRDefault="00483D42" w:rsidP="00CF2E8B">
            <w:pPr>
              <w:jc w:val="center"/>
              <w:rPr>
                <w:rFonts w:ascii="Verdana" w:hAnsi="Verdana"/>
                <w:sz w:val="20"/>
              </w:rPr>
            </w:pPr>
          </w:p>
        </w:tc>
        <w:tc>
          <w:tcPr>
            <w:tcW w:w="933" w:type="dxa"/>
            <w:vAlign w:val="center"/>
          </w:tcPr>
          <w:p w:rsidR="00483D42" w:rsidRPr="00CF2E8B" w:rsidRDefault="00483D42" w:rsidP="00CF2E8B">
            <w:pPr>
              <w:jc w:val="center"/>
              <w:rPr>
                <w:rFonts w:ascii="Verdana" w:hAnsi="Verdana"/>
                <w:sz w:val="20"/>
              </w:rPr>
            </w:pPr>
          </w:p>
        </w:tc>
        <w:tc>
          <w:tcPr>
            <w:tcW w:w="1701" w:type="dxa"/>
            <w:vAlign w:val="center"/>
          </w:tcPr>
          <w:p w:rsidR="00483D42" w:rsidRDefault="00483D42" w:rsidP="00CF2E8B">
            <w:pPr>
              <w:jc w:val="center"/>
              <w:rPr>
                <w:rFonts w:ascii="Verdana" w:hAnsi="Verdana"/>
                <w:sz w:val="20"/>
              </w:rPr>
            </w:pPr>
            <w:r>
              <w:rPr>
                <w:rFonts w:ascii="Verdana" w:hAnsi="Verdana"/>
                <w:sz w:val="20"/>
              </w:rPr>
              <w:t>Ian Harries</w:t>
            </w:r>
          </w:p>
        </w:tc>
        <w:tc>
          <w:tcPr>
            <w:tcW w:w="1134" w:type="dxa"/>
            <w:vAlign w:val="center"/>
          </w:tcPr>
          <w:p w:rsidR="00483D42" w:rsidRPr="00CF2E8B" w:rsidRDefault="00483D42" w:rsidP="00CF2E8B">
            <w:pPr>
              <w:jc w:val="center"/>
              <w:rPr>
                <w:rFonts w:ascii="Verdana" w:hAnsi="Verdana"/>
                <w:sz w:val="20"/>
              </w:rPr>
            </w:pPr>
          </w:p>
        </w:tc>
        <w:tc>
          <w:tcPr>
            <w:tcW w:w="1276" w:type="dxa"/>
            <w:vAlign w:val="center"/>
          </w:tcPr>
          <w:p w:rsidR="00483D42" w:rsidRPr="00CF2E8B" w:rsidRDefault="00483D42" w:rsidP="00CF2E8B">
            <w:pPr>
              <w:jc w:val="center"/>
              <w:rPr>
                <w:rFonts w:ascii="Verdana" w:hAnsi="Verdana"/>
                <w:sz w:val="20"/>
              </w:rPr>
            </w:pPr>
          </w:p>
        </w:tc>
      </w:tr>
      <w:tr w:rsidR="00F04051" w:rsidTr="00953A57">
        <w:trPr>
          <w:trHeight w:val="563"/>
        </w:trPr>
        <w:tc>
          <w:tcPr>
            <w:tcW w:w="1206" w:type="dxa"/>
            <w:vAlign w:val="center"/>
          </w:tcPr>
          <w:p w:rsidR="00F04051" w:rsidRDefault="00F04051" w:rsidP="00CF2E8B">
            <w:pPr>
              <w:jc w:val="center"/>
              <w:rPr>
                <w:rFonts w:ascii="Verdana" w:hAnsi="Verdana"/>
                <w:sz w:val="20"/>
              </w:rPr>
            </w:pPr>
            <w:r>
              <w:rPr>
                <w:rFonts w:ascii="Verdana" w:hAnsi="Verdana"/>
                <w:sz w:val="20"/>
              </w:rPr>
              <w:t>0.4</w:t>
            </w:r>
          </w:p>
        </w:tc>
        <w:tc>
          <w:tcPr>
            <w:tcW w:w="1415" w:type="dxa"/>
            <w:vAlign w:val="center"/>
          </w:tcPr>
          <w:p w:rsidR="00F04051" w:rsidRDefault="00F04051" w:rsidP="00CF2E8B">
            <w:pPr>
              <w:jc w:val="center"/>
              <w:rPr>
                <w:rFonts w:ascii="Verdana" w:hAnsi="Verdana"/>
                <w:sz w:val="20"/>
              </w:rPr>
            </w:pPr>
            <w:r>
              <w:rPr>
                <w:rFonts w:ascii="Verdana" w:hAnsi="Verdana"/>
                <w:sz w:val="20"/>
              </w:rPr>
              <w:t>28/06/2018</w:t>
            </w:r>
          </w:p>
        </w:tc>
        <w:tc>
          <w:tcPr>
            <w:tcW w:w="1232" w:type="dxa"/>
            <w:vAlign w:val="center"/>
          </w:tcPr>
          <w:p w:rsidR="00F04051" w:rsidRPr="00CF2E8B" w:rsidRDefault="00F04051" w:rsidP="00CF2E8B">
            <w:pPr>
              <w:jc w:val="center"/>
              <w:rPr>
                <w:rFonts w:ascii="Verdana" w:hAnsi="Verdana"/>
                <w:sz w:val="20"/>
              </w:rPr>
            </w:pPr>
          </w:p>
        </w:tc>
        <w:tc>
          <w:tcPr>
            <w:tcW w:w="933" w:type="dxa"/>
            <w:vAlign w:val="center"/>
          </w:tcPr>
          <w:p w:rsidR="00F04051" w:rsidRPr="00CF2E8B" w:rsidRDefault="00F04051" w:rsidP="00CF2E8B">
            <w:pPr>
              <w:jc w:val="center"/>
              <w:rPr>
                <w:rFonts w:ascii="Verdana" w:hAnsi="Verdana"/>
                <w:sz w:val="20"/>
              </w:rPr>
            </w:pPr>
          </w:p>
        </w:tc>
        <w:tc>
          <w:tcPr>
            <w:tcW w:w="1701" w:type="dxa"/>
            <w:vAlign w:val="center"/>
          </w:tcPr>
          <w:p w:rsidR="00F04051" w:rsidRDefault="00F04051" w:rsidP="00CF2E8B">
            <w:pPr>
              <w:jc w:val="center"/>
              <w:rPr>
                <w:rFonts w:ascii="Verdana" w:hAnsi="Verdana"/>
                <w:sz w:val="20"/>
              </w:rPr>
            </w:pPr>
            <w:r>
              <w:rPr>
                <w:rFonts w:ascii="Verdana" w:hAnsi="Verdana"/>
                <w:sz w:val="20"/>
              </w:rPr>
              <w:t>Ian Harries</w:t>
            </w:r>
          </w:p>
        </w:tc>
        <w:tc>
          <w:tcPr>
            <w:tcW w:w="1134" w:type="dxa"/>
            <w:vAlign w:val="center"/>
          </w:tcPr>
          <w:p w:rsidR="00F04051" w:rsidRPr="00CF2E8B" w:rsidRDefault="00F04051" w:rsidP="00CF2E8B">
            <w:pPr>
              <w:jc w:val="center"/>
              <w:rPr>
                <w:rFonts w:ascii="Verdana" w:hAnsi="Verdana"/>
                <w:sz w:val="20"/>
              </w:rPr>
            </w:pPr>
          </w:p>
        </w:tc>
        <w:tc>
          <w:tcPr>
            <w:tcW w:w="1276" w:type="dxa"/>
            <w:vAlign w:val="center"/>
          </w:tcPr>
          <w:p w:rsidR="00F04051" w:rsidRPr="00CF2E8B" w:rsidRDefault="00F04051" w:rsidP="00CF2E8B">
            <w:pPr>
              <w:jc w:val="center"/>
              <w:rPr>
                <w:rFonts w:ascii="Verdana" w:hAnsi="Verdana"/>
                <w:sz w:val="20"/>
              </w:rPr>
            </w:pPr>
          </w:p>
        </w:tc>
      </w:tr>
      <w:tr w:rsidR="00F04051" w:rsidTr="00953A57">
        <w:trPr>
          <w:trHeight w:val="563"/>
        </w:trPr>
        <w:tc>
          <w:tcPr>
            <w:tcW w:w="1206" w:type="dxa"/>
            <w:vAlign w:val="center"/>
          </w:tcPr>
          <w:p w:rsidR="00F04051" w:rsidRDefault="00F04051" w:rsidP="00CF2E8B">
            <w:pPr>
              <w:jc w:val="center"/>
              <w:rPr>
                <w:rFonts w:ascii="Verdana" w:hAnsi="Verdana"/>
                <w:sz w:val="20"/>
              </w:rPr>
            </w:pPr>
            <w:r>
              <w:rPr>
                <w:rFonts w:ascii="Verdana" w:hAnsi="Verdana"/>
                <w:sz w:val="20"/>
              </w:rPr>
              <w:t>0.5</w:t>
            </w:r>
          </w:p>
        </w:tc>
        <w:tc>
          <w:tcPr>
            <w:tcW w:w="1415" w:type="dxa"/>
            <w:vAlign w:val="center"/>
          </w:tcPr>
          <w:p w:rsidR="00F04051" w:rsidRDefault="00F04051" w:rsidP="00CF2E8B">
            <w:pPr>
              <w:jc w:val="center"/>
              <w:rPr>
                <w:rFonts w:ascii="Verdana" w:hAnsi="Verdana"/>
                <w:sz w:val="20"/>
              </w:rPr>
            </w:pPr>
            <w:r>
              <w:rPr>
                <w:rFonts w:ascii="Verdana" w:hAnsi="Verdana"/>
                <w:sz w:val="20"/>
              </w:rPr>
              <w:t>19/07/2018</w:t>
            </w:r>
          </w:p>
        </w:tc>
        <w:tc>
          <w:tcPr>
            <w:tcW w:w="1232" w:type="dxa"/>
            <w:vAlign w:val="center"/>
          </w:tcPr>
          <w:p w:rsidR="00F04051" w:rsidRPr="00CF2E8B" w:rsidRDefault="00F04051" w:rsidP="00CF2E8B">
            <w:pPr>
              <w:jc w:val="center"/>
              <w:rPr>
                <w:rFonts w:ascii="Verdana" w:hAnsi="Verdana"/>
                <w:sz w:val="20"/>
              </w:rPr>
            </w:pPr>
          </w:p>
        </w:tc>
        <w:tc>
          <w:tcPr>
            <w:tcW w:w="933" w:type="dxa"/>
            <w:vAlign w:val="center"/>
          </w:tcPr>
          <w:p w:rsidR="00F04051" w:rsidRPr="00CF2E8B" w:rsidRDefault="00F04051" w:rsidP="00CF2E8B">
            <w:pPr>
              <w:jc w:val="center"/>
              <w:rPr>
                <w:rFonts w:ascii="Verdana" w:hAnsi="Verdana"/>
                <w:sz w:val="20"/>
              </w:rPr>
            </w:pPr>
          </w:p>
        </w:tc>
        <w:tc>
          <w:tcPr>
            <w:tcW w:w="1701" w:type="dxa"/>
            <w:vAlign w:val="center"/>
          </w:tcPr>
          <w:p w:rsidR="00F04051" w:rsidRDefault="00F04051" w:rsidP="00CF2E8B">
            <w:pPr>
              <w:jc w:val="center"/>
              <w:rPr>
                <w:rFonts w:ascii="Verdana" w:hAnsi="Verdana"/>
                <w:sz w:val="20"/>
              </w:rPr>
            </w:pPr>
            <w:r>
              <w:rPr>
                <w:rFonts w:ascii="Verdana" w:hAnsi="Verdana"/>
                <w:sz w:val="20"/>
              </w:rPr>
              <w:t>Ian Harries / Peter Jarman/ Sara Nott/ Lindsey Smitham</w:t>
            </w:r>
          </w:p>
        </w:tc>
        <w:tc>
          <w:tcPr>
            <w:tcW w:w="1134" w:type="dxa"/>
            <w:vAlign w:val="center"/>
          </w:tcPr>
          <w:p w:rsidR="00F04051" w:rsidRPr="00CF2E8B" w:rsidRDefault="00F04051" w:rsidP="00CF2E8B">
            <w:pPr>
              <w:jc w:val="center"/>
              <w:rPr>
                <w:rFonts w:ascii="Verdana" w:hAnsi="Verdana"/>
                <w:sz w:val="20"/>
              </w:rPr>
            </w:pPr>
          </w:p>
        </w:tc>
        <w:tc>
          <w:tcPr>
            <w:tcW w:w="1276" w:type="dxa"/>
            <w:vAlign w:val="center"/>
          </w:tcPr>
          <w:p w:rsidR="00F04051" w:rsidRPr="00CF2E8B" w:rsidRDefault="00340A0E" w:rsidP="00CF2E8B">
            <w:pPr>
              <w:jc w:val="center"/>
              <w:rPr>
                <w:rFonts w:ascii="Verdana" w:hAnsi="Verdana"/>
                <w:sz w:val="20"/>
              </w:rPr>
            </w:pPr>
            <w:r>
              <w:rPr>
                <w:rFonts w:ascii="Verdana" w:hAnsi="Verdana"/>
                <w:sz w:val="20"/>
              </w:rPr>
              <w:t>CHL ELT 22/08/18</w:t>
            </w:r>
          </w:p>
        </w:tc>
      </w:tr>
      <w:tr w:rsidR="00340A0E" w:rsidTr="00953A57">
        <w:trPr>
          <w:trHeight w:val="563"/>
        </w:trPr>
        <w:tc>
          <w:tcPr>
            <w:tcW w:w="1206" w:type="dxa"/>
            <w:vAlign w:val="center"/>
          </w:tcPr>
          <w:p w:rsidR="00340A0E" w:rsidRDefault="00340A0E" w:rsidP="00CF2E8B">
            <w:pPr>
              <w:jc w:val="center"/>
              <w:rPr>
                <w:rFonts w:ascii="Verdana" w:hAnsi="Verdana"/>
                <w:sz w:val="20"/>
              </w:rPr>
            </w:pPr>
            <w:r>
              <w:rPr>
                <w:rFonts w:ascii="Verdana" w:hAnsi="Verdana"/>
                <w:sz w:val="20"/>
              </w:rPr>
              <w:t>0.6</w:t>
            </w:r>
          </w:p>
        </w:tc>
        <w:tc>
          <w:tcPr>
            <w:tcW w:w="1415" w:type="dxa"/>
            <w:vAlign w:val="center"/>
          </w:tcPr>
          <w:p w:rsidR="00340A0E" w:rsidRDefault="00340A0E" w:rsidP="00CF2E8B">
            <w:pPr>
              <w:jc w:val="center"/>
              <w:rPr>
                <w:rFonts w:ascii="Verdana" w:hAnsi="Verdana"/>
                <w:sz w:val="20"/>
              </w:rPr>
            </w:pPr>
            <w:r>
              <w:rPr>
                <w:rFonts w:ascii="Verdana" w:hAnsi="Verdana"/>
                <w:sz w:val="20"/>
              </w:rPr>
              <w:t>28/08/18</w:t>
            </w:r>
          </w:p>
        </w:tc>
        <w:tc>
          <w:tcPr>
            <w:tcW w:w="1232" w:type="dxa"/>
            <w:vAlign w:val="center"/>
          </w:tcPr>
          <w:p w:rsidR="00340A0E" w:rsidRPr="00CF2E8B" w:rsidRDefault="00340A0E" w:rsidP="00CF2E8B">
            <w:pPr>
              <w:jc w:val="center"/>
              <w:rPr>
                <w:rFonts w:ascii="Verdana" w:hAnsi="Verdana"/>
                <w:sz w:val="20"/>
              </w:rPr>
            </w:pPr>
          </w:p>
        </w:tc>
        <w:tc>
          <w:tcPr>
            <w:tcW w:w="933" w:type="dxa"/>
            <w:vAlign w:val="center"/>
          </w:tcPr>
          <w:p w:rsidR="00340A0E" w:rsidRPr="00CF2E8B" w:rsidRDefault="00340A0E" w:rsidP="00CF2E8B">
            <w:pPr>
              <w:jc w:val="center"/>
              <w:rPr>
                <w:rFonts w:ascii="Verdana" w:hAnsi="Verdana"/>
                <w:sz w:val="20"/>
              </w:rPr>
            </w:pPr>
          </w:p>
        </w:tc>
        <w:tc>
          <w:tcPr>
            <w:tcW w:w="1701" w:type="dxa"/>
            <w:vAlign w:val="center"/>
          </w:tcPr>
          <w:p w:rsidR="00340A0E" w:rsidRDefault="00340A0E" w:rsidP="0022398C">
            <w:pPr>
              <w:jc w:val="center"/>
              <w:rPr>
                <w:rFonts w:ascii="Verdana" w:hAnsi="Verdana"/>
                <w:sz w:val="20"/>
              </w:rPr>
            </w:pPr>
            <w:r>
              <w:rPr>
                <w:rFonts w:ascii="Verdana" w:hAnsi="Verdana"/>
                <w:sz w:val="20"/>
              </w:rPr>
              <w:t xml:space="preserve">Ian Harries / Peter Jarman/ Sara Nott/ </w:t>
            </w:r>
          </w:p>
        </w:tc>
        <w:tc>
          <w:tcPr>
            <w:tcW w:w="1134" w:type="dxa"/>
            <w:vAlign w:val="center"/>
          </w:tcPr>
          <w:p w:rsidR="00340A0E" w:rsidRPr="00CF2E8B" w:rsidRDefault="00340A0E" w:rsidP="00CF2E8B">
            <w:pPr>
              <w:jc w:val="center"/>
              <w:rPr>
                <w:rFonts w:ascii="Verdana" w:hAnsi="Verdana"/>
                <w:sz w:val="20"/>
              </w:rPr>
            </w:pPr>
          </w:p>
        </w:tc>
        <w:tc>
          <w:tcPr>
            <w:tcW w:w="1276" w:type="dxa"/>
            <w:vAlign w:val="center"/>
          </w:tcPr>
          <w:p w:rsidR="00D840B3" w:rsidRDefault="0022398C" w:rsidP="00CF2E8B">
            <w:pPr>
              <w:jc w:val="center"/>
              <w:rPr>
                <w:rFonts w:ascii="Verdana" w:hAnsi="Verdana"/>
                <w:sz w:val="20"/>
              </w:rPr>
            </w:pPr>
            <w:r>
              <w:rPr>
                <w:rFonts w:ascii="Verdana" w:hAnsi="Verdana"/>
                <w:sz w:val="20"/>
              </w:rPr>
              <w:t xml:space="preserve">Legal </w:t>
            </w:r>
          </w:p>
          <w:p w:rsidR="008A5B2F" w:rsidRDefault="001D723D" w:rsidP="00CF2E8B">
            <w:pPr>
              <w:jc w:val="center"/>
              <w:rPr>
                <w:rFonts w:ascii="Verdana" w:hAnsi="Verdana"/>
                <w:sz w:val="20"/>
              </w:rPr>
            </w:pPr>
            <w:r>
              <w:rPr>
                <w:rFonts w:ascii="Verdana" w:hAnsi="Verdana"/>
                <w:sz w:val="20"/>
              </w:rPr>
              <w:t>and Ian Harries</w:t>
            </w:r>
          </w:p>
          <w:p w:rsidR="001D723D" w:rsidRDefault="001D723D" w:rsidP="00CF2E8B">
            <w:pPr>
              <w:jc w:val="center"/>
              <w:rPr>
                <w:rFonts w:ascii="Verdana" w:hAnsi="Verdana"/>
                <w:sz w:val="20"/>
              </w:rPr>
            </w:pPr>
            <w:r>
              <w:rPr>
                <w:rFonts w:ascii="Verdana" w:hAnsi="Verdana"/>
                <w:sz w:val="20"/>
              </w:rPr>
              <w:t>feedback</w:t>
            </w:r>
          </w:p>
          <w:p w:rsidR="001D723D" w:rsidRPr="00CF2E8B" w:rsidRDefault="001D723D" w:rsidP="00CF2E8B">
            <w:pPr>
              <w:jc w:val="center"/>
              <w:rPr>
                <w:rFonts w:ascii="Verdana" w:hAnsi="Verdana"/>
                <w:sz w:val="20"/>
              </w:rPr>
            </w:pPr>
            <w:r>
              <w:rPr>
                <w:rFonts w:ascii="Verdana" w:hAnsi="Verdana"/>
                <w:sz w:val="20"/>
              </w:rPr>
              <w:t>05/09/18</w:t>
            </w:r>
          </w:p>
        </w:tc>
      </w:tr>
      <w:tr w:rsidR="0022398C" w:rsidTr="00953A57">
        <w:trPr>
          <w:trHeight w:val="563"/>
        </w:trPr>
        <w:tc>
          <w:tcPr>
            <w:tcW w:w="1206" w:type="dxa"/>
            <w:vAlign w:val="center"/>
          </w:tcPr>
          <w:p w:rsidR="0022398C" w:rsidRDefault="0022398C" w:rsidP="001D723D">
            <w:pPr>
              <w:jc w:val="center"/>
              <w:rPr>
                <w:rFonts w:ascii="Verdana" w:hAnsi="Verdana"/>
                <w:sz w:val="20"/>
              </w:rPr>
            </w:pPr>
            <w:r>
              <w:rPr>
                <w:rFonts w:ascii="Verdana" w:hAnsi="Verdana"/>
                <w:sz w:val="20"/>
              </w:rPr>
              <w:t>0.</w:t>
            </w:r>
            <w:r w:rsidR="001D723D">
              <w:rPr>
                <w:rFonts w:ascii="Verdana" w:hAnsi="Verdana"/>
                <w:sz w:val="20"/>
              </w:rPr>
              <w:t>7</w:t>
            </w:r>
          </w:p>
        </w:tc>
        <w:tc>
          <w:tcPr>
            <w:tcW w:w="1415" w:type="dxa"/>
            <w:vAlign w:val="center"/>
          </w:tcPr>
          <w:p w:rsidR="0022398C" w:rsidRDefault="001D723D" w:rsidP="001D723D">
            <w:pPr>
              <w:jc w:val="center"/>
              <w:rPr>
                <w:rFonts w:ascii="Verdana" w:hAnsi="Verdana"/>
                <w:sz w:val="20"/>
              </w:rPr>
            </w:pPr>
            <w:r>
              <w:rPr>
                <w:rFonts w:ascii="Verdana" w:hAnsi="Verdana"/>
                <w:sz w:val="20"/>
              </w:rPr>
              <w:t>06/09</w:t>
            </w:r>
            <w:r w:rsidR="0022398C">
              <w:rPr>
                <w:rFonts w:ascii="Verdana" w:hAnsi="Verdana"/>
                <w:sz w:val="20"/>
              </w:rPr>
              <w:t>/18</w:t>
            </w:r>
          </w:p>
        </w:tc>
        <w:tc>
          <w:tcPr>
            <w:tcW w:w="1232" w:type="dxa"/>
            <w:vAlign w:val="center"/>
          </w:tcPr>
          <w:p w:rsidR="0022398C" w:rsidRPr="00CF2E8B" w:rsidRDefault="0022398C" w:rsidP="00CF2E8B">
            <w:pPr>
              <w:jc w:val="center"/>
              <w:rPr>
                <w:rFonts w:ascii="Verdana" w:hAnsi="Verdana"/>
                <w:sz w:val="20"/>
              </w:rPr>
            </w:pPr>
          </w:p>
        </w:tc>
        <w:tc>
          <w:tcPr>
            <w:tcW w:w="933" w:type="dxa"/>
            <w:vAlign w:val="center"/>
          </w:tcPr>
          <w:p w:rsidR="0022398C" w:rsidRPr="00CF2E8B" w:rsidRDefault="0022398C" w:rsidP="00CF2E8B">
            <w:pPr>
              <w:jc w:val="center"/>
              <w:rPr>
                <w:rFonts w:ascii="Verdana" w:hAnsi="Verdana"/>
                <w:sz w:val="20"/>
              </w:rPr>
            </w:pPr>
          </w:p>
        </w:tc>
        <w:tc>
          <w:tcPr>
            <w:tcW w:w="1701" w:type="dxa"/>
            <w:vAlign w:val="center"/>
          </w:tcPr>
          <w:p w:rsidR="0022398C" w:rsidRDefault="0022398C" w:rsidP="0022398C">
            <w:pPr>
              <w:jc w:val="center"/>
              <w:rPr>
                <w:rFonts w:ascii="Verdana" w:hAnsi="Verdana"/>
                <w:sz w:val="20"/>
              </w:rPr>
            </w:pPr>
            <w:r>
              <w:rPr>
                <w:rFonts w:ascii="Verdana" w:hAnsi="Verdana"/>
                <w:sz w:val="20"/>
              </w:rPr>
              <w:t xml:space="preserve">Ian Harries / Peter Jarman/ Sara Nott/ </w:t>
            </w:r>
          </w:p>
        </w:tc>
        <w:tc>
          <w:tcPr>
            <w:tcW w:w="1134" w:type="dxa"/>
            <w:vAlign w:val="center"/>
          </w:tcPr>
          <w:p w:rsidR="0022398C" w:rsidRPr="00CF2E8B" w:rsidRDefault="0022398C" w:rsidP="00CF2E8B">
            <w:pPr>
              <w:jc w:val="center"/>
              <w:rPr>
                <w:rFonts w:ascii="Verdana" w:hAnsi="Verdana"/>
                <w:sz w:val="20"/>
              </w:rPr>
            </w:pPr>
          </w:p>
        </w:tc>
        <w:tc>
          <w:tcPr>
            <w:tcW w:w="1276" w:type="dxa"/>
            <w:vAlign w:val="center"/>
          </w:tcPr>
          <w:p w:rsidR="0022398C" w:rsidRPr="00CF2E8B" w:rsidRDefault="00953A57" w:rsidP="00CF2E8B">
            <w:pPr>
              <w:jc w:val="center"/>
              <w:rPr>
                <w:rFonts w:ascii="Verdana" w:hAnsi="Verdana"/>
                <w:sz w:val="20"/>
              </w:rPr>
            </w:pPr>
            <w:r>
              <w:rPr>
                <w:rFonts w:ascii="Verdana" w:hAnsi="Verdana"/>
                <w:sz w:val="20"/>
              </w:rPr>
              <w:t>Final Draft version to CC Cabinet</w:t>
            </w:r>
          </w:p>
        </w:tc>
      </w:tr>
      <w:tr w:rsidR="00953A57" w:rsidTr="00953A57">
        <w:trPr>
          <w:trHeight w:val="563"/>
        </w:trPr>
        <w:tc>
          <w:tcPr>
            <w:tcW w:w="1206" w:type="dxa"/>
            <w:vAlign w:val="center"/>
          </w:tcPr>
          <w:p w:rsidR="00953A57" w:rsidRDefault="00953A57" w:rsidP="001D723D">
            <w:pPr>
              <w:jc w:val="center"/>
              <w:rPr>
                <w:rFonts w:ascii="Verdana" w:hAnsi="Verdana"/>
                <w:sz w:val="20"/>
              </w:rPr>
            </w:pPr>
            <w:r>
              <w:rPr>
                <w:rFonts w:ascii="Verdana" w:hAnsi="Verdana"/>
                <w:sz w:val="20"/>
              </w:rPr>
              <w:t>1.0</w:t>
            </w:r>
          </w:p>
        </w:tc>
        <w:tc>
          <w:tcPr>
            <w:tcW w:w="1415" w:type="dxa"/>
            <w:vAlign w:val="center"/>
          </w:tcPr>
          <w:p w:rsidR="00953A57" w:rsidRDefault="00953A57" w:rsidP="001D723D">
            <w:pPr>
              <w:jc w:val="center"/>
              <w:rPr>
                <w:rFonts w:ascii="Verdana" w:hAnsi="Verdana"/>
                <w:sz w:val="20"/>
              </w:rPr>
            </w:pPr>
            <w:r>
              <w:rPr>
                <w:rFonts w:ascii="Verdana" w:hAnsi="Verdana"/>
                <w:sz w:val="20"/>
              </w:rPr>
              <w:t>18.12.18</w:t>
            </w:r>
          </w:p>
        </w:tc>
        <w:tc>
          <w:tcPr>
            <w:tcW w:w="1232" w:type="dxa"/>
            <w:vAlign w:val="center"/>
          </w:tcPr>
          <w:p w:rsidR="00953A57" w:rsidRPr="00CF2E8B" w:rsidRDefault="00953A57" w:rsidP="00CF2E8B">
            <w:pPr>
              <w:jc w:val="center"/>
              <w:rPr>
                <w:rFonts w:ascii="Verdana" w:hAnsi="Verdana"/>
                <w:sz w:val="20"/>
              </w:rPr>
            </w:pPr>
          </w:p>
        </w:tc>
        <w:tc>
          <w:tcPr>
            <w:tcW w:w="933" w:type="dxa"/>
            <w:vAlign w:val="center"/>
          </w:tcPr>
          <w:p w:rsidR="00953A57" w:rsidRPr="00CF2E8B" w:rsidRDefault="00953A57" w:rsidP="00CF2E8B">
            <w:pPr>
              <w:jc w:val="center"/>
              <w:rPr>
                <w:rFonts w:ascii="Verdana" w:hAnsi="Verdana"/>
                <w:sz w:val="20"/>
              </w:rPr>
            </w:pPr>
          </w:p>
        </w:tc>
        <w:tc>
          <w:tcPr>
            <w:tcW w:w="1701" w:type="dxa"/>
            <w:vAlign w:val="center"/>
          </w:tcPr>
          <w:p w:rsidR="00953A57" w:rsidRDefault="00953A57" w:rsidP="0022398C">
            <w:pPr>
              <w:jc w:val="center"/>
              <w:rPr>
                <w:rFonts w:ascii="Verdana" w:hAnsi="Verdana"/>
                <w:sz w:val="20"/>
              </w:rPr>
            </w:pPr>
            <w:r>
              <w:rPr>
                <w:rFonts w:ascii="Verdana" w:hAnsi="Verdana"/>
                <w:sz w:val="20"/>
              </w:rPr>
              <w:t>Ian Harries / Peter Jarman/ Sara Nott/</w:t>
            </w:r>
          </w:p>
        </w:tc>
        <w:tc>
          <w:tcPr>
            <w:tcW w:w="1134" w:type="dxa"/>
            <w:vAlign w:val="center"/>
          </w:tcPr>
          <w:p w:rsidR="00953A57" w:rsidRPr="00CF2E8B" w:rsidRDefault="00953A57" w:rsidP="00CF2E8B">
            <w:pPr>
              <w:jc w:val="center"/>
              <w:rPr>
                <w:rFonts w:ascii="Verdana" w:hAnsi="Verdana"/>
                <w:sz w:val="20"/>
              </w:rPr>
            </w:pPr>
          </w:p>
        </w:tc>
        <w:tc>
          <w:tcPr>
            <w:tcW w:w="1276" w:type="dxa"/>
            <w:vAlign w:val="center"/>
          </w:tcPr>
          <w:p w:rsidR="00953A57" w:rsidRDefault="00953A57" w:rsidP="00CF2E8B">
            <w:pPr>
              <w:jc w:val="center"/>
              <w:rPr>
                <w:rFonts w:ascii="Verdana" w:hAnsi="Verdana"/>
                <w:sz w:val="20"/>
              </w:rPr>
            </w:pPr>
            <w:r>
              <w:rPr>
                <w:rFonts w:ascii="Verdana" w:hAnsi="Verdana"/>
                <w:sz w:val="20"/>
              </w:rPr>
              <w:t>Adopted by CC Cabinet</w:t>
            </w:r>
          </w:p>
        </w:tc>
      </w:tr>
    </w:tbl>
    <w:p w:rsidR="00CF2E8B" w:rsidRDefault="00CF2E8B" w:rsidP="002F789B">
      <w:pPr>
        <w:rPr>
          <w:rFonts w:ascii="Verdana" w:hAnsi="Verdana"/>
          <w:b/>
          <w:color w:val="EE6821"/>
        </w:rPr>
      </w:pPr>
    </w:p>
    <w:tbl>
      <w:tblPr>
        <w:tblStyle w:val="TableGrid"/>
        <w:tblW w:w="0" w:type="auto"/>
        <w:tblLook w:val="01E0" w:firstRow="1" w:lastRow="1" w:firstColumn="1" w:lastColumn="1" w:noHBand="0" w:noVBand="0"/>
      </w:tblPr>
      <w:tblGrid>
        <w:gridCol w:w="1277"/>
        <w:gridCol w:w="1392"/>
        <w:gridCol w:w="1353"/>
        <w:gridCol w:w="1932"/>
        <w:gridCol w:w="1372"/>
        <w:gridCol w:w="1392"/>
      </w:tblGrid>
      <w:tr w:rsidR="00135D3D" w:rsidTr="00135D3D">
        <w:trPr>
          <w:trHeight w:val="678"/>
        </w:trPr>
        <w:tc>
          <w:tcPr>
            <w:tcW w:w="8718" w:type="dxa"/>
            <w:gridSpan w:val="6"/>
            <w:shd w:val="clear" w:color="auto" w:fill="FF6600"/>
            <w:vAlign w:val="center"/>
          </w:tcPr>
          <w:p w:rsidR="00135D3D" w:rsidRPr="00135D3D" w:rsidRDefault="00135D3D" w:rsidP="00CF2E8B">
            <w:pPr>
              <w:rPr>
                <w:rFonts w:ascii="Verdana" w:hAnsi="Verdana"/>
                <w:b/>
                <w:color w:val="FFFFFF"/>
                <w:sz w:val="28"/>
                <w:szCs w:val="28"/>
              </w:rPr>
            </w:pPr>
            <w:r w:rsidRPr="00135D3D">
              <w:rPr>
                <w:rFonts w:ascii="Verdana" w:hAnsi="Verdana"/>
                <w:b/>
                <w:color w:val="FFFFFF"/>
                <w:sz w:val="28"/>
                <w:szCs w:val="28"/>
              </w:rPr>
              <w:lastRenderedPageBreak/>
              <w:t>Equality impact assessment record</w:t>
            </w:r>
          </w:p>
        </w:tc>
      </w:tr>
      <w:tr w:rsidR="00135D3D" w:rsidTr="00135D3D">
        <w:tc>
          <w:tcPr>
            <w:tcW w:w="2063" w:type="dxa"/>
            <w:vAlign w:val="center"/>
          </w:tcPr>
          <w:p w:rsidR="00CF2E8B" w:rsidRPr="00135D3D" w:rsidRDefault="00135D3D" w:rsidP="00135D3D">
            <w:pPr>
              <w:jc w:val="center"/>
              <w:rPr>
                <w:rFonts w:ascii="Verdana" w:hAnsi="Verdana"/>
                <w:sz w:val="20"/>
              </w:rPr>
            </w:pPr>
            <w:r w:rsidRPr="00135D3D">
              <w:rPr>
                <w:rFonts w:ascii="Verdana" w:hAnsi="Verdana"/>
                <w:sz w:val="20"/>
              </w:rPr>
              <w:t>Date</w:t>
            </w:r>
          </w:p>
        </w:tc>
        <w:tc>
          <w:tcPr>
            <w:tcW w:w="1331" w:type="dxa"/>
            <w:vAlign w:val="center"/>
          </w:tcPr>
          <w:p w:rsidR="00CF2E8B" w:rsidRPr="00135D3D" w:rsidRDefault="00135D3D" w:rsidP="00135D3D">
            <w:pPr>
              <w:jc w:val="center"/>
              <w:rPr>
                <w:rFonts w:ascii="Verdana" w:hAnsi="Verdana"/>
                <w:sz w:val="20"/>
              </w:rPr>
            </w:pPr>
            <w:r w:rsidRPr="00135D3D">
              <w:rPr>
                <w:rFonts w:ascii="Verdana" w:hAnsi="Verdana"/>
                <w:sz w:val="20"/>
              </w:rPr>
              <w:t>Type of assessment conducted</w:t>
            </w:r>
          </w:p>
        </w:tc>
        <w:tc>
          <w:tcPr>
            <w:tcW w:w="1331" w:type="dxa"/>
            <w:vAlign w:val="center"/>
          </w:tcPr>
          <w:p w:rsidR="00CF2E8B" w:rsidRPr="00135D3D" w:rsidRDefault="00135D3D" w:rsidP="00135D3D">
            <w:pPr>
              <w:jc w:val="center"/>
              <w:rPr>
                <w:rFonts w:ascii="Verdana" w:hAnsi="Verdana"/>
                <w:sz w:val="20"/>
              </w:rPr>
            </w:pPr>
            <w:r w:rsidRPr="00135D3D">
              <w:rPr>
                <w:rFonts w:ascii="Verdana" w:hAnsi="Verdana"/>
                <w:sz w:val="20"/>
              </w:rPr>
              <w:t>Stage/level completed</w:t>
            </w:r>
          </w:p>
        </w:tc>
        <w:tc>
          <w:tcPr>
            <w:tcW w:w="1331" w:type="dxa"/>
            <w:vAlign w:val="center"/>
          </w:tcPr>
          <w:p w:rsidR="00CF2E8B" w:rsidRPr="00135D3D" w:rsidRDefault="00135D3D" w:rsidP="00135D3D">
            <w:pPr>
              <w:jc w:val="center"/>
              <w:rPr>
                <w:rFonts w:ascii="Verdana" w:hAnsi="Verdana"/>
                <w:sz w:val="20"/>
              </w:rPr>
            </w:pPr>
            <w:r w:rsidRPr="00135D3D">
              <w:rPr>
                <w:rFonts w:ascii="Verdana" w:hAnsi="Verdana"/>
                <w:sz w:val="20"/>
              </w:rPr>
              <w:t>Summary of actions/decisions</w:t>
            </w:r>
          </w:p>
        </w:tc>
        <w:tc>
          <w:tcPr>
            <w:tcW w:w="1331" w:type="dxa"/>
            <w:vAlign w:val="center"/>
          </w:tcPr>
          <w:p w:rsidR="00CF2E8B" w:rsidRPr="00135D3D" w:rsidRDefault="00135D3D" w:rsidP="00135D3D">
            <w:pPr>
              <w:jc w:val="center"/>
              <w:rPr>
                <w:rFonts w:ascii="Verdana" w:hAnsi="Verdana"/>
                <w:sz w:val="20"/>
              </w:rPr>
            </w:pPr>
            <w:r w:rsidRPr="00135D3D">
              <w:rPr>
                <w:rFonts w:ascii="Verdana" w:hAnsi="Verdana"/>
                <w:sz w:val="20"/>
              </w:rPr>
              <w:t>Completed by</w:t>
            </w:r>
          </w:p>
        </w:tc>
        <w:tc>
          <w:tcPr>
            <w:tcW w:w="1331" w:type="dxa"/>
            <w:vAlign w:val="center"/>
          </w:tcPr>
          <w:p w:rsidR="00CF2E8B" w:rsidRPr="00135D3D" w:rsidRDefault="00135D3D" w:rsidP="00135D3D">
            <w:pPr>
              <w:jc w:val="center"/>
              <w:rPr>
                <w:rFonts w:ascii="Verdana" w:hAnsi="Verdana"/>
                <w:sz w:val="20"/>
              </w:rPr>
            </w:pPr>
            <w:r w:rsidRPr="00135D3D">
              <w:rPr>
                <w:rFonts w:ascii="Verdana" w:hAnsi="Verdana"/>
                <w:sz w:val="20"/>
              </w:rPr>
              <w:t>Impact assessment review date</w:t>
            </w:r>
          </w:p>
        </w:tc>
      </w:tr>
      <w:tr w:rsidR="00135D3D" w:rsidTr="00135D3D">
        <w:trPr>
          <w:trHeight w:val="529"/>
        </w:trPr>
        <w:tc>
          <w:tcPr>
            <w:tcW w:w="2063" w:type="dxa"/>
            <w:vAlign w:val="center"/>
          </w:tcPr>
          <w:p w:rsidR="00CF2E8B" w:rsidRPr="00135D3D" w:rsidRDefault="00340A0E" w:rsidP="00135D3D">
            <w:pPr>
              <w:jc w:val="center"/>
              <w:rPr>
                <w:rFonts w:ascii="Verdana" w:hAnsi="Verdana"/>
                <w:sz w:val="20"/>
              </w:rPr>
            </w:pPr>
            <w:r>
              <w:rPr>
                <w:rFonts w:ascii="Verdana" w:hAnsi="Verdana"/>
                <w:sz w:val="20"/>
              </w:rPr>
              <w:t>08.08.18</w:t>
            </w:r>
          </w:p>
        </w:tc>
        <w:tc>
          <w:tcPr>
            <w:tcW w:w="1331" w:type="dxa"/>
            <w:vAlign w:val="center"/>
          </w:tcPr>
          <w:p w:rsidR="00CF2E8B" w:rsidRPr="00135D3D" w:rsidRDefault="00340A0E" w:rsidP="00340A0E">
            <w:pPr>
              <w:jc w:val="center"/>
              <w:rPr>
                <w:rFonts w:ascii="Verdana" w:hAnsi="Verdana"/>
                <w:sz w:val="20"/>
              </w:rPr>
            </w:pPr>
            <w:r>
              <w:rPr>
                <w:rFonts w:ascii="Verdana" w:hAnsi="Verdana"/>
                <w:sz w:val="20"/>
              </w:rPr>
              <w:t xml:space="preserve">DEAG. </w:t>
            </w:r>
          </w:p>
        </w:tc>
        <w:tc>
          <w:tcPr>
            <w:tcW w:w="1331" w:type="dxa"/>
            <w:vAlign w:val="center"/>
          </w:tcPr>
          <w:p w:rsidR="00CF2E8B" w:rsidRPr="00135D3D" w:rsidRDefault="00340A0E" w:rsidP="00135D3D">
            <w:pPr>
              <w:jc w:val="center"/>
              <w:rPr>
                <w:rFonts w:ascii="Verdana" w:hAnsi="Verdana"/>
                <w:sz w:val="20"/>
              </w:rPr>
            </w:pPr>
            <w:r>
              <w:rPr>
                <w:rFonts w:ascii="Verdana" w:hAnsi="Verdana"/>
                <w:sz w:val="20"/>
              </w:rPr>
              <w:t>Full</w:t>
            </w:r>
          </w:p>
        </w:tc>
        <w:tc>
          <w:tcPr>
            <w:tcW w:w="1331" w:type="dxa"/>
            <w:vAlign w:val="center"/>
          </w:tcPr>
          <w:p w:rsidR="00CF2E8B" w:rsidRPr="00135D3D" w:rsidRDefault="00340A0E" w:rsidP="00135D3D">
            <w:pPr>
              <w:jc w:val="center"/>
              <w:rPr>
                <w:rFonts w:ascii="Verdana" w:hAnsi="Verdana"/>
                <w:sz w:val="20"/>
              </w:rPr>
            </w:pPr>
            <w:r>
              <w:rPr>
                <w:rFonts w:ascii="Verdana" w:hAnsi="Verdana"/>
                <w:sz w:val="20"/>
              </w:rPr>
              <w:t>See Service Charge CIA</w:t>
            </w:r>
          </w:p>
        </w:tc>
        <w:tc>
          <w:tcPr>
            <w:tcW w:w="1331" w:type="dxa"/>
            <w:vAlign w:val="center"/>
          </w:tcPr>
          <w:p w:rsidR="00CF2E8B" w:rsidRPr="00135D3D" w:rsidRDefault="00340A0E" w:rsidP="00135D3D">
            <w:pPr>
              <w:jc w:val="center"/>
              <w:rPr>
                <w:rFonts w:ascii="Verdana" w:hAnsi="Verdana"/>
                <w:sz w:val="20"/>
              </w:rPr>
            </w:pPr>
            <w:r>
              <w:rPr>
                <w:rFonts w:ascii="Verdana" w:hAnsi="Verdana"/>
                <w:sz w:val="20"/>
              </w:rPr>
              <w:t>Sara Nott/Emma West</w:t>
            </w:r>
          </w:p>
        </w:tc>
        <w:tc>
          <w:tcPr>
            <w:tcW w:w="1331" w:type="dxa"/>
            <w:vAlign w:val="center"/>
          </w:tcPr>
          <w:p w:rsidR="00CF2E8B" w:rsidRPr="00135D3D" w:rsidRDefault="00340A0E" w:rsidP="00135D3D">
            <w:pPr>
              <w:jc w:val="center"/>
              <w:rPr>
                <w:rFonts w:ascii="Verdana" w:hAnsi="Verdana"/>
                <w:sz w:val="20"/>
              </w:rPr>
            </w:pPr>
            <w:r>
              <w:rPr>
                <w:rFonts w:ascii="Verdana" w:hAnsi="Verdana"/>
                <w:sz w:val="20"/>
              </w:rPr>
              <w:t>6/8 months after adoption</w:t>
            </w:r>
          </w:p>
        </w:tc>
      </w:tr>
    </w:tbl>
    <w:p w:rsidR="00CF2E8B" w:rsidRDefault="00CF2E8B" w:rsidP="002F789B">
      <w:pPr>
        <w:rPr>
          <w:rFonts w:ascii="Verdana" w:hAnsi="Verdana"/>
          <w:b/>
          <w:color w:val="EE6821"/>
        </w:rPr>
      </w:pPr>
    </w:p>
    <w:p w:rsidR="00135D3D" w:rsidRDefault="00135D3D" w:rsidP="002F789B">
      <w:pPr>
        <w:rPr>
          <w:rFonts w:ascii="Verdana" w:hAnsi="Verdana"/>
          <w:b/>
          <w:color w:val="EE6821"/>
        </w:rPr>
      </w:pPr>
    </w:p>
    <w:tbl>
      <w:tblPr>
        <w:tblStyle w:val="TableGrid"/>
        <w:tblW w:w="0" w:type="auto"/>
        <w:tblLayout w:type="fixed"/>
        <w:tblLook w:val="01E0" w:firstRow="1" w:lastRow="1" w:firstColumn="1" w:lastColumn="1" w:noHBand="0" w:noVBand="0"/>
      </w:tblPr>
      <w:tblGrid>
        <w:gridCol w:w="1384"/>
        <w:gridCol w:w="1134"/>
        <w:gridCol w:w="1276"/>
        <w:gridCol w:w="1276"/>
        <w:gridCol w:w="3648"/>
      </w:tblGrid>
      <w:tr w:rsidR="00135D3D" w:rsidTr="006922A3">
        <w:trPr>
          <w:trHeight w:val="663"/>
        </w:trPr>
        <w:tc>
          <w:tcPr>
            <w:tcW w:w="8718" w:type="dxa"/>
            <w:gridSpan w:val="5"/>
            <w:shd w:val="clear" w:color="auto" w:fill="FF6600"/>
            <w:vAlign w:val="center"/>
          </w:tcPr>
          <w:p w:rsidR="00135D3D" w:rsidRPr="00135D3D" w:rsidRDefault="00135D3D" w:rsidP="00135D3D">
            <w:pPr>
              <w:rPr>
                <w:rFonts w:ascii="Verdana" w:hAnsi="Verdana"/>
                <w:b/>
                <w:color w:val="FFFFFF"/>
                <w:sz w:val="28"/>
                <w:szCs w:val="28"/>
              </w:rPr>
            </w:pPr>
            <w:r>
              <w:rPr>
                <w:rFonts w:ascii="Verdana" w:hAnsi="Verdana"/>
                <w:b/>
                <w:color w:val="FFFFFF"/>
                <w:sz w:val="28"/>
                <w:szCs w:val="28"/>
              </w:rPr>
              <w:t>Policy guidance and advice c</w:t>
            </w:r>
            <w:r w:rsidRPr="00135D3D">
              <w:rPr>
                <w:rFonts w:ascii="Verdana" w:hAnsi="Verdana"/>
                <w:b/>
                <w:color w:val="FFFFFF"/>
                <w:sz w:val="28"/>
                <w:szCs w:val="28"/>
              </w:rPr>
              <w:t>ontact details</w:t>
            </w:r>
          </w:p>
        </w:tc>
      </w:tr>
      <w:tr w:rsidR="00135D3D" w:rsidTr="006E6627">
        <w:trPr>
          <w:trHeight w:val="545"/>
        </w:trPr>
        <w:tc>
          <w:tcPr>
            <w:tcW w:w="1384" w:type="dxa"/>
            <w:vAlign w:val="center"/>
          </w:tcPr>
          <w:p w:rsidR="00135D3D" w:rsidRPr="00135D3D" w:rsidRDefault="00135D3D" w:rsidP="00135D3D">
            <w:pPr>
              <w:jc w:val="center"/>
              <w:rPr>
                <w:rFonts w:ascii="Verdana" w:hAnsi="Verdana"/>
                <w:sz w:val="20"/>
              </w:rPr>
            </w:pPr>
            <w:r w:rsidRPr="00135D3D">
              <w:rPr>
                <w:rFonts w:ascii="Verdana" w:hAnsi="Verdana"/>
                <w:sz w:val="20"/>
              </w:rPr>
              <w:t>Directorate</w:t>
            </w:r>
          </w:p>
        </w:tc>
        <w:tc>
          <w:tcPr>
            <w:tcW w:w="1134" w:type="dxa"/>
            <w:vAlign w:val="center"/>
          </w:tcPr>
          <w:p w:rsidR="00135D3D" w:rsidRPr="00135D3D" w:rsidRDefault="00135D3D" w:rsidP="00135D3D">
            <w:pPr>
              <w:jc w:val="center"/>
              <w:rPr>
                <w:rFonts w:ascii="Verdana" w:hAnsi="Verdana"/>
                <w:sz w:val="20"/>
              </w:rPr>
            </w:pPr>
            <w:r w:rsidRPr="00135D3D">
              <w:rPr>
                <w:rFonts w:ascii="Verdana" w:hAnsi="Verdana"/>
                <w:sz w:val="20"/>
              </w:rPr>
              <w:t>Service Area</w:t>
            </w:r>
          </w:p>
        </w:tc>
        <w:tc>
          <w:tcPr>
            <w:tcW w:w="1276" w:type="dxa"/>
            <w:vAlign w:val="center"/>
          </w:tcPr>
          <w:p w:rsidR="00135D3D" w:rsidRPr="00135D3D" w:rsidRDefault="00135D3D" w:rsidP="00135D3D">
            <w:pPr>
              <w:jc w:val="center"/>
              <w:rPr>
                <w:rFonts w:ascii="Verdana" w:hAnsi="Verdana"/>
                <w:sz w:val="20"/>
              </w:rPr>
            </w:pPr>
            <w:r w:rsidRPr="00135D3D">
              <w:rPr>
                <w:rFonts w:ascii="Verdana" w:hAnsi="Verdana"/>
                <w:sz w:val="20"/>
              </w:rPr>
              <w:t>Name of policy developer</w:t>
            </w:r>
          </w:p>
        </w:tc>
        <w:tc>
          <w:tcPr>
            <w:tcW w:w="1276" w:type="dxa"/>
            <w:vAlign w:val="center"/>
          </w:tcPr>
          <w:p w:rsidR="00135D3D" w:rsidRPr="00135D3D" w:rsidRDefault="00135D3D" w:rsidP="00135D3D">
            <w:pPr>
              <w:jc w:val="center"/>
              <w:rPr>
                <w:rFonts w:ascii="Verdana" w:hAnsi="Verdana"/>
                <w:sz w:val="20"/>
              </w:rPr>
            </w:pPr>
            <w:r w:rsidRPr="00135D3D">
              <w:rPr>
                <w:rFonts w:ascii="Verdana" w:hAnsi="Verdana"/>
                <w:sz w:val="20"/>
              </w:rPr>
              <w:t>Contact number</w:t>
            </w:r>
          </w:p>
        </w:tc>
        <w:tc>
          <w:tcPr>
            <w:tcW w:w="3648" w:type="dxa"/>
            <w:vAlign w:val="center"/>
          </w:tcPr>
          <w:p w:rsidR="00135D3D" w:rsidRPr="00135D3D" w:rsidRDefault="00135D3D" w:rsidP="00135D3D">
            <w:pPr>
              <w:jc w:val="center"/>
              <w:rPr>
                <w:rFonts w:ascii="Verdana" w:hAnsi="Verdana"/>
                <w:sz w:val="20"/>
              </w:rPr>
            </w:pPr>
            <w:r w:rsidRPr="00135D3D">
              <w:rPr>
                <w:rFonts w:ascii="Verdana" w:hAnsi="Verdana"/>
                <w:sz w:val="20"/>
              </w:rPr>
              <w:t>Email address</w:t>
            </w:r>
          </w:p>
        </w:tc>
      </w:tr>
      <w:tr w:rsidR="00135D3D" w:rsidTr="006E6627">
        <w:trPr>
          <w:trHeight w:val="567"/>
        </w:trPr>
        <w:tc>
          <w:tcPr>
            <w:tcW w:w="1384" w:type="dxa"/>
            <w:vAlign w:val="center"/>
          </w:tcPr>
          <w:p w:rsidR="00135D3D" w:rsidRPr="00135D3D" w:rsidRDefault="00401877" w:rsidP="00135D3D">
            <w:pPr>
              <w:jc w:val="center"/>
              <w:rPr>
                <w:rFonts w:ascii="Verdana" w:hAnsi="Verdana"/>
                <w:color w:val="EE6821"/>
                <w:sz w:val="20"/>
              </w:rPr>
            </w:pPr>
            <w:r>
              <w:rPr>
                <w:rFonts w:ascii="Verdana" w:hAnsi="Verdana"/>
                <w:color w:val="EE6821"/>
                <w:sz w:val="20"/>
              </w:rPr>
              <w:t>CHL</w:t>
            </w:r>
          </w:p>
        </w:tc>
        <w:tc>
          <w:tcPr>
            <w:tcW w:w="1134" w:type="dxa"/>
            <w:vAlign w:val="center"/>
          </w:tcPr>
          <w:p w:rsidR="00135D3D" w:rsidRPr="00135D3D" w:rsidRDefault="00401877" w:rsidP="00135D3D">
            <w:pPr>
              <w:jc w:val="center"/>
              <w:rPr>
                <w:rFonts w:ascii="Verdana" w:hAnsi="Verdana"/>
                <w:color w:val="EE6821"/>
                <w:sz w:val="20"/>
              </w:rPr>
            </w:pPr>
            <w:r>
              <w:rPr>
                <w:rFonts w:ascii="Verdana" w:hAnsi="Verdana"/>
                <w:color w:val="EE6821"/>
                <w:sz w:val="20"/>
              </w:rPr>
              <w:t>Landlord Services</w:t>
            </w:r>
          </w:p>
        </w:tc>
        <w:tc>
          <w:tcPr>
            <w:tcW w:w="1276" w:type="dxa"/>
            <w:vAlign w:val="center"/>
          </w:tcPr>
          <w:p w:rsidR="00135D3D" w:rsidRPr="00135D3D" w:rsidRDefault="00401877" w:rsidP="00135D3D">
            <w:pPr>
              <w:jc w:val="center"/>
              <w:rPr>
                <w:rFonts w:ascii="Verdana" w:hAnsi="Verdana"/>
                <w:color w:val="EE6821"/>
                <w:sz w:val="20"/>
              </w:rPr>
            </w:pPr>
            <w:r>
              <w:rPr>
                <w:rFonts w:ascii="Verdana" w:hAnsi="Verdana"/>
                <w:color w:val="EE6821"/>
                <w:sz w:val="20"/>
              </w:rPr>
              <w:t>Ian Harries</w:t>
            </w:r>
          </w:p>
        </w:tc>
        <w:tc>
          <w:tcPr>
            <w:tcW w:w="1276" w:type="dxa"/>
            <w:vAlign w:val="center"/>
          </w:tcPr>
          <w:p w:rsidR="00135D3D" w:rsidRPr="00135D3D" w:rsidRDefault="00135D3D" w:rsidP="00135D3D">
            <w:pPr>
              <w:jc w:val="center"/>
              <w:rPr>
                <w:rFonts w:ascii="Verdana" w:hAnsi="Verdana"/>
                <w:color w:val="EE6821"/>
                <w:sz w:val="20"/>
              </w:rPr>
            </w:pPr>
          </w:p>
        </w:tc>
        <w:tc>
          <w:tcPr>
            <w:tcW w:w="3648" w:type="dxa"/>
            <w:vAlign w:val="center"/>
          </w:tcPr>
          <w:p w:rsidR="00135D3D" w:rsidRPr="00135D3D" w:rsidRDefault="00135D3D" w:rsidP="00135D3D">
            <w:pPr>
              <w:jc w:val="center"/>
              <w:rPr>
                <w:rFonts w:ascii="Verdana" w:hAnsi="Verdana"/>
                <w:color w:val="EE6821"/>
                <w:sz w:val="20"/>
              </w:rPr>
            </w:pPr>
          </w:p>
        </w:tc>
      </w:tr>
    </w:tbl>
    <w:p w:rsidR="00135D3D" w:rsidRDefault="00135D3D" w:rsidP="002F789B">
      <w:pPr>
        <w:rPr>
          <w:rFonts w:ascii="Verdana" w:hAnsi="Verdana"/>
          <w:b/>
          <w:color w:val="EE6821"/>
        </w:rPr>
        <w:sectPr w:rsidR="00135D3D" w:rsidSect="00CF2E8B">
          <w:pgSz w:w="11904" w:h="16834"/>
          <w:pgMar w:top="1701" w:right="1701" w:bottom="1361" w:left="1701" w:header="454" w:footer="454" w:gutter="0"/>
          <w:pgNumType w:start="1"/>
          <w:cols w:space="708"/>
          <w:titlePg/>
        </w:sectPr>
      </w:pPr>
    </w:p>
    <w:p w:rsidR="002F789B" w:rsidRPr="002F789B" w:rsidRDefault="002F789B" w:rsidP="002F789B">
      <w:pPr>
        <w:rPr>
          <w:rFonts w:ascii="Verdana" w:hAnsi="Verdana"/>
          <w:b/>
          <w:color w:val="EE6821"/>
        </w:rPr>
      </w:pPr>
      <w:r w:rsidRPr="002F789B">
        <w:rPr>
          <w:rFonts w:ascii="Verdana" w:hAnsi="Verdana"/>
          <w:b/>
          <w:color w:val="EE6821"/>
        </w:rPr>
        <w:lastRenderedPageBreak/>
        <w:t>Notes</w:t>
      </w:r>
    </w:p>
    <w:p w:rsidR="002F789B" w:rsidRPr="002F789B" w:rsidRDefault="002F789B" w:rsidP="002F789B">
      <w:pPr>
        <w:rPr>
          <w:rFonts w:ascii="Verdana" w:hAnsi="Verdana"/>
          <w:b/>
          <w:color w:val="EE6821"/>
          <w:u w:val="single"/>
        </w:rPr>
      </w:pPr>
    </w:p>
    <w:p w:rsidR="005610CA" w:rsidRDefault="005610CA" w:rsidP="002F789B">
      <w:pPr>
        <w:rPr>
          <w:rFonts w:ascii="Verdana" w:hAnsi="Verdana"/>
          <w:b/>
          <w:color w:val="EE6821"/>
        </w:rPr>
      </w:pPr>
    </w:p>
    <w:p w:rsidR="002F789B" w:rsidRPr="002F789B" w:rsidRDefault="002F789B" w:rsidP="002F789B">
      <w:pPr>
        <w:rPr>
          <w:rFonts w:ascii="Verdana" w:hAnsi="Verdana"/>
          <w:b/>
          <w:color w:val="EE6821"/>
        </w:rPr>
      </w:pPr>
      <w:r w:rsidRPr="002F789B">
        <w:rPr>
          <w:rFonts w:ascii="Verdana" w:hAnsi="Verdana"/>
          <w:b/>
          <w:color w:val="EE6821"/>
        </w:rPr>
        <w:t>Legal influences on this policy</w:t>
      </w:r>
    </w:p>
    <w:p w:rsidR="002F789B" w:rsidRPr="002F789B" w:rsidRDefault="002F789B" w:rsidP="002F789B">
      <w:pPr>
        <w:rPr>
          <w:rFonts w:ascii="Verdana" w:hAnsi="Verdana"/>
          <w:b/>
          <w:color w:val="EE6821"/>
          <w:u w:val="single"/>
        </w:rPr>
      </w:pPr>
    </w:p>
    <w:p w:rsidR="002F789B" w:rsidRPr="002C6320" w:rsidRDefault="00401877" w:rsidP="002F789B">
      <w:pPr>
        <w:rPr>
          <w:rFonts w:ascii="Verdana" w:hAnsi="Verdana"/>
          <w:sz w:val="22"/>
          <w:szCs w:val="22"/>
        </w:rPr>
      </w:pPr>
      <w:r w:rsidRPr="002C6320">
        <w:rPr>
          <w:rFonts w:ascii="Verdana" w:hAnsi="Verdana"/>
          <w:sz w:val="22"/>
          <w:szCs w:val="22"/>
        </w:rPr>
        <w:t>Landlord &amp; Tenant Act 1985</w:t>
      </w:r>
    </w:p>
    <w:p w:rsidR="006E6627" w:rsidRPr="002C6320" w:rsidRDefault="006E6627" w:rsidP="002F789B">
      <w:pPr>
        <w:rPr>
          <w:rFonts w:ascii="Verdana" w:hAnsi="Verdana"/>
          <w:sz w:val="22"/>
          <w:szCs w:val="22"/>
        </w:rPr>
      </w:pPr>
      <w:r w:rsidRPr="002C6320">
        <w:rPr>
          <w:rFonts w:ascii="Verdana" w:hAnsi="Verdana"/>
          <w:sz w:val="22"/>
          <w:szCs w:val="22"/>
        </w:rPr>
        <w:t>Housing Act 1985</w:t>
      </w:r>
    </w:p>
    <w:p w:rsidR="00401877" w:rsidRPr="002C6320" w:rsidRDefault="00AE0B96" w:rsidP="002F789B">
      <w:pPr>
        <w:rPr>
          <w:rFonts w:ascii="Verdana" w:hAnsi="Verdana"/>
          <w:sz w:val="22"/>
          <w:szCs w:val="22"/>
        </w:rPr>
      </w:pPr>
      <w:r w:rsidRPr="002C6320">
        <w:rPr>
          <w:rFonts w:ascii="Verdana" w:hAnsi="Verdana"/>
          <w:sz w:val="22"/>
          <w:szCs w:val="22"/>
        </w:rPr>
        <w:t>Commonhold and Leasehold Reform Act 2002</w:t>
      </w:r>
    </w:p>
    <w:p w:rsidR="00EA6E29" w:rsidRPr="002C6320" w:rsidRDefault="00EA6E29" w:rsidP="002F789B">
      <w:pPr>
        <w:rPr>
          <w:rFonts w:ascii="Verdana" w:hAnsi="Verdana"/>
          <w:sz w:val="22"/>
          <w:szCs w:val="22"/>
        </w:rPr>
      </w:pPr>
      <w:r w:rsidRPr="002C6320">
        <w:rPr>
          <w:rFonts w:ascii="Verdana" w:hAnsi="Verdana"/>
          <w:sz w:val="22"/>
          <w:szCs w:val="22"/>
        </w:rPr>
        <w:t>Housing Act 2004</w:t>
      </w:r>
    </w:p>
    <w:p w:rsidR="00AE0B96" w:rsidRPr="002C6320" w:rsidRDefault="00AE0B96" w:rsidP="002F789B">
      <w:pPr>
        <w:rPr>
          <w:rFonts w:ascii="Verdana" w:hAnsi="Verdana"/>
          <w:sz w:val="22"/>
          <w:szCs w:val="22"/>
        </w:rPr>
      </w:pPr>
      <w:r w:rsidRPr="002C6320">
        <w:rPr>
          <w:rFonts w:ascii="Verdana" w:hAnsi="Verdana"/>
          <w:sz w:val="22"/>
          <w:szCs w:val="22"/>
        </w:rPr>
        <w:t>Housing &amp; Regeneration Act 2008</w:t>
      </w:r>
    </w:p>
    <w:p w:rsidR="005610CA" w:rsidRPr="002C6320" w:rsidRDefault="005610CA" w:rsidP="002F789B">
      <w:pPr>
        <w:rPr>
          <w:rFonts w:ascii="Verdana" w:hAnsi="Verdana"/>
          <w:color w:val="EE6821"/>
          <w:sz w:val="22"/>
          <w:szCs w:val="22"/>
        </w:rPr>
      </w:pPr>
    </w:p>
    <w:p w:rsidR="006E6627" w:rsidRPr="002C6320" w:rsidRDefault="006E6627" w:rsidP="006E6627">
      <w:pPr>
        <w:rPr>
          <w:rFonts w:ascii="Verdana" w:hAnsi="Verdana"/>
          <w:sz w:val="22"/>
          <w:szCs w:val="22"/>
        </w:rPr>
      </w:pPr>
      <w:r w:rsidRPr="002C6320">
        <w:rPr>
          <w:rFonts w:ascii="Verdana" w:hAnsi="Verdana"/>
          <w:sz w:val="22"/>
          <w:szCs w:val="22"/>
        </w:rPr>
        <w:t>Statutory Instrument – 2003 no 1987 - Service charge consultation requirements</w:t>
      </w:r>
    </w:p>
    <w:p w:rsidR="006E6627" w:rsidRPr="002C6320" w:rsidRDefault="006E6627" w:rsidP="006E6627">
      <w:pPr>
        <w:rPr>
          <w:rFonts w:ascii="Verdana" w:hAnsi="Verdana"/>
          <w:sz w:val="22"/>
          <w:szCs w:val="22"/>
        </w:rPr>
      </w:pPr>
      <w:r w:rsidRPr="002C6320">
        <w:rPr>
          <w:rFonts w:ascii="Verdana" w:hAnsi="Verdana"/>
          <w:sz w:val="22"/>
          <w:szCs w:val="22"/>
        </w:rPr>
        <w:t>Statutory Instrument – 2007 no 1257 and 1258 - Summary of rights and obligations</w:t>
      </w:r>
    </w:p>
    <w:p w:rsidR="006E6627" w:rsidRPr="002C6320" w:rsidRDefault="006E6627" w:rsidP="006E6627">
      <w:pPr>
        <w:rPr>
          <w:rFonts w:ascii="Verdana" w:hAnsi="Verdana"/>
          <w:sz w:val="22"/>
          <w:szCs w:val="22"/>
        </w:rPr>
      </w:pPr>
      <w:r w:rsidRPr="002C6320">
        <w:rPr>
          <w:rFonts w:ascii="Verdana" w:hAnsi="Verdana"/>
          <w:sz w:val="22"/>
          <w:szCs w:val="22"/>
        </w:rPr>
        <w:t>Statutory Instrument – 2006 no 213 - Housing Benefit Regulations – what is eligible for HB</w:t>
      </w:r>
    </w:p>
    <w:p w:rsidR="006E6627" w:rsidRPr="002C6320" w:rsidRDefault="006E6627" w:rsidP="006E6627">
      <w:pPr>
        <w:rPr>
          <w:rFonts w:ascii="Verdana" w:hAnsi="Verdana"/>
          <w:sz w:val="22"/>
          <w:szCs w:val="22"/>
        </w:rPr>
      </w:pPr>
      <w:r w:rsidRPr="002C6320">
        <w:rPr>
          <w:rFonts w:ascii="Verdana" w:hAnsi="Verdana"/>
          <w:sz w:val="22"/>
          <w:szCs w:val="22"/>
        </w:rPr>
        <w:t>Statutory Instrument – 2013 no 376 – Universal Credit Regulations – what is eligible for UC</w:t>
      </w:r>
    </w:p>
    <w:p w:rsidR="006E6627" w:rsidRPr="002C6320" w:rsidRDefault="006E6627" w:rsidP="006E6627">
      <w:pPr>
        <w:rPr>
          <w:rFonts w:ascii="Verdana" w:hAnsi="Verdana"/>
          <w:sz w:val="22"/>
          <w:szCs w:val="22"/>
        </w:rPr>
      </w:pPr>
      <w:r w:rsidRPr="002C6320">
        <w:rPr>
          <w:rFonts w:ascii="Verdana" w:hAnsi="Verdana"/>
          <w:sz w:val="22"/>
          <w:szCs w:val="22"/>
        </w:rPr>
        <w:t>Statutory Instrument – 2013 no 1036 – Transfer of Tribunal Functions</w:t>
      </w:r>
    </w:p>
    <w:p w:rsidR="005610CA" w:rsidRPr="002C6320" w:rsidRDefault="005610CA" w:rsidP="002F789B">
      <w:pPr>
        <w:rPr>
          <w:rFonts w:ascii="Verdana" w:hAnsi="Verdana"/>
          <w:b/>
          <w:color w:val="EE6821"/>
          <w:sz w:val="22"/>
          <w:szCs w:val="22"/>
        </w:rPr>
      </w:pPr>
    </w:p>
    <w:p w:rsidR="002F789B" w:rsidRDefault="002F789B" w:rsidP="002F789B">
      <w:pPr>
        <w:rPr>
          <w:rFonts w:ascii="Verdana" w:hAnsi="Verdana"/>
          <w:b/>
          <w:color w:val="EE6821"/>
        </w:rPr>
      </w:pPr>
      <w:r w:rsidRPr="002F789B">
        <w:rPr>
          <w:rFonts w:ascii="Verdana" w:hAnsi="Verdana"/>
          <w:b/>
          <w:color w:val="EE6821"/>
        </w:rPr>
        <w:t>Non-legal influences on this policy</w:t>
      </w:r>
    </w:p>
    <w:p w:rsidR="006E6627" w:rsidRDefault="006E6627" w:rsidP="006E6627">
      <w:pPr>
        <w:rPr>
          <w:szCs w:val="22"/>
        </w:rPr>
      </w:pPr>
    </w:p>
    <w:p w:rsidR="006E6627" w:rsidRPr="002C6320" w:rsidRDefault="006E6627" w:rsidP="006E6627">
      <w:pPr>
        <w:rPr>
          <w:rFonts w:ascii="Verdana" w:hAnsi="Verdana"/>
          <w:sz w:val="22"/>
          <w:szCs w:val="22"/>
        </w:rPr>
      </w:pPr>
      <w:r w:rsidRPr="002C6320">
        <w:rPr>
          <w:rFonts w:ascii="Verdana" w:hAnsi="Verdana"/>
          <w:sz w:val="22"/>
          <w:szCs w:val="22"/>
        </w:rPr>
        <w:t>The Institute of Rent Officers’ Manual - Service Charges for Residential Premises as affected by Statue and case law</w:t>
      </w:r>
    </w:p>
    <w:p w:rsidR="006E6627" w:rsidRPr="002C6320" w:rsidRDefault="006E6627" w:rsidP="006E6627">
      <w:pPr>
        <w:rPr>
          <w:rFonts w:ascii="Verdana" w:hAnsi="Verdana"/>
          <w:sz w:val="22"/>
          <w:szCs w:val="22"/>
        </w:rPr>
      </w:pPr>
      <w:r w:rsidRPr="002C6320">
        <w:rPr>
          <w:rFonts w:ascii="Verdana" w:hAnsi="Verdana"/>
          <w:sz w:val="22"/>
          <w:szCs w:val="22"/>
        </w:rPr>
        <w:t>RICS Residential Management code</w:t>
      </w:r>
    </w:p>
    <w:p w:rsidR="006E6627" w:rsidRPr="002C6320" w:rsidRDefault="006E6627" w:rsidP="006E6627">
      <w:pPr>
        <w:rPr>
          <w:rFonts w:ascii="Verdana" w:hAnsi="Verdana"/>
          <w:sz w:val="22"/>
          <w:szCs w:val="22"/>
        </w:rPr>
      </w:pPr>
      <w:r w:rsidRPr="002C6320">
        <w:rPr>
          <w:rFonts w:ascii="Verdana" w:hAnsi="Verdana"/>
          <w:sz w:val="22"/>
          <w:szCs w:val="22"/>
        </w:rPr>
        <w:t>The Regulatory framework for social housing in England: April 2014</w:t>
      </w:r>
    </w:p>
    <w:p w:rsidR="005610CA" w:rsidRDefault="005610CA" w:rsidP="002F789B">
      <w:pPr>
        <w:rPr>
          <w:rFonts w:ascii="Verdana" w:hAnsi="Verdana"/>
          <w:b/>
          <w:color w:val="EE6821"/>
        </w:rPr>
      </w:pPr>
    </w:p>
    <w:p w:rsidR="005610CA" w:rsidRDefault="005610CA" w:rsidP="002F789B">
      <w:pPr>
        <w:rPr>
          <w:rFonts w:ascii="Verdana" w:hAnsi="Verdana"/>
          <w:b/>
          <w:color w:val="EE6821"/>
        </w:rPr>
      </w:pPr>
    </w:p>
    <w:p w:rsidR="002F789B" w:rsidRPr="002F789B" w:rsidRDefault="002F789B" w:rsidP="002F789B">
      <w:pPr>
        <w:rPr>
          <w:rFonts w:ascii="Verdana" w:hAnsi="Verdana"/>
          <w:b/>
          <w:color w:val="EE6821"/>
        </w:rPr>
      </w:pPr>
      <w:r w:rsidRPr="002F789B">
        <w:rPr>
          <w:rFonts w:ascii="Verdana" w:hAnsi="Verdana"/>
          <w:b/>
          <w:color w:val="EE6821"/>
        </w:rPr>
        <w:t>Other documents linked to this policy</w:t>
      </w:r>
    </w:p>
    <w:p w:rsidR="007A4C7E" w:rsidRDefault="007A4C7E" w:rsidP="009625E6">
      <w:pPr>
        <w:pStyle w:val="02BSCCContentsParagraphbodystyle"/>
        <w:rPr>
          <w:b/>
        </w:rPr>
      </w:pPr>
    </w:p>
    <w:p w:rsidR="008652C5" w:rsidRDefault="008652C5" w:rsidP="009625E6">
      <w:pPr>
        <w:pStyle w:val="02BSCCContentsParagraphbodystyle"/>
      </w:pPr>
      <w:r>
        <w:t>Rent Policy</w:t>
      </w:r>
    </w:p>
    <w:p w:rsidR="007A4C7E" w:rsidRPr="006E6627" w:rsidRDefault="00401877" w:rsidP="009625E6">
      <w:pPr>
        <w:pStyle w:val="02BSCCContentsParagraphbodystyle"/>
      </w:pPr>
      <w:r w:rsidRPr="006E6627">
        <w:t>Leasehold Policy</w:t>
      </w:r>
    </w:p>
    <w:p w:rsidR="00401877" w:rsidRDefault="00401877" w:rsidP="009625E6">
      <w:pPr>
        <w:pStyle w:val="02BSCCContentsParagraphbodystyle"/>
      </w:pPr>
      <w:r w:rsidRPr="006E6627">
        <w:t>Asset Management Policy</w:t>
      </w:r>
    </w:p>
    <w:p w:rsidR="006E6627" w:rsidRDefault="006E6627" w:rsidP="009625E6">
      <w:pPr>
        <w:pStyle w:val="02BSCCContentsParagraphbodystyle"/>
      </w:pPr>
      <w:r>
        <w:t>Consultation Policy</w:t>
      </w:r>
    </w:p>
    <w:p w:rsidR="006E6627" w:rsidRPr="006E6627" w:rsidRDefault="006E6627" w:rsidP="009625E6">
      <w:pPr>
        <w:pStyle w:val="02BSCCContentsParagraphbodystyle"/>
      </w:pPr>
      <w:r>
        <w:t>Complaints Policy</w:t>
      </w:r>
    </w:p>
    <w:bookmarkEnd w:id="1"/>
    <w:bookmarkEnd w:id="2"/>
    <w:bookmarkEnd w:id="3"/>
    <w:p w:rsidR="005610CA" w:rsidRDefault="005610CA" w:rsidP="005610CA">
      <w:pPr>
        <w:pStyle w:val="01BSCCParagraphbodystyle"/>
      </w:pPr>
    </w:p>
    <w:p w:rsidR="005610CA" w:rsidRDefault="005610CA" w:rsidP="005610CA">
      <w:pPr>
        <w:pStyle w:val="01BSCCParagraphbodystyle"/>
      </w:pPr>
    </w:p>
    <w:p w:rsidR="005610CA" w:rsidRDefault="005610CA" w:rsidP="005610CA">
      <w:pPr>
        <w:pStyle w:val="01BSCCParagraphbodystyle"/>
      </w:pPr>
    </w:p>
    <w:p w:rsidR="005610CA" w:rsidRDefault="005610CA" w:rsidP="005610CA">
      <w:pPr>
        <w:pStyle w:val="01BSCCParagraphbodystyle"/>
      </w:pPr>
    </w:p>
    <w:p w:rsidR="005610CA" w:rsidRDefault="005610CA" w:rsidP="005610CA">
      <w:pPr>
        <w:pStyle w:val="01BSCCParagraphbodystyle"/>
      </w:pPr>
    </w:p>
    <w:p w:rsidR="001F285D" w:rsidRDefault="001F285D" w:rsidP="00AC3D0A">
      <w:pPr>
        <w:pStyle w:val="01S2CCSubhead2"/>
        <w:sectPr w:rsidR="001F285D" w:rsidSect="00CF2E8B">
          <w:pgSz w:w="11904" w:h="16834"/>
          <w:pgMar w:top="1701" w:right="1701" w:bottom="1361" w:left="1701" w:header="454" w:footer="454" w:gutter="0"/>
          <w:pgNumType w:start="1"/>
          <w:cols w:space="708"/>
          <w:titlePg/>
        </w:sectPr>
      </w:pPr>
    </w:p>
    <w:p w:rsidR="00552460" w:rsidRDefault="002F789B" w:rsidP="00AC3D0A">
      <w:pPr>
        <w:pStyle w:val="01S2CCSubhead2"/>
      </w:pPr>
      <w:r>
        <w:lastRenderedPageBreak/>
        <w:t>Table of contents</w:t>
      </w:r>
    </w:p>
    <w:p w:rsidR="002F789B" w:rsidRDefault="002F789B" w:rsidP="002F789B">
      <w:pPr>
        <w:pStyle w:val="01BSCCParagraphbodystyle"/>
      </w:pPr>
    </w:p>
    <w:p w:rsidR="002F789B" w:rsidRPr="005610CA" w:rsidRDefault="002F789B" w:rsidP="002F789B">
      <w:pPr>
        <w:pStyle w:val="01BSCCParagraphbodystyle"/>
        <w:rPr>
          <w:b/>
          <w:color w:val="EE6821"/>
        </w:rPr>
      </w:pPr>
      <w:r>
        <w:tab/>
      </w:r>
      <w:r>
        <w:tab/>
      </w:r>
      <w:r>
        <w:tab/>
      </w:r>
      <w:r>
        <w:tab/>
      </w:r>
      <w:r>
        <w:tab/>
      </w:r>
      <w:r>
        <w:tab/>
      </w:r>
      <w:r w:rsidR="005610CA">
        <w:tab/>
      </w:r>
      <w:r w:rsidR="005610CA">
        <w:tab/>
      </w:r>
      <w:r w:rsidR="005610CA">
        <w:tab/>
      </w:r>
      <w:r w:rsidR="005610CA">
        <w:tab/>
        <w:t xml:space="preserve">        </w:t>
      </w:r>
      <w:r w:rsidR="00C8745A" w:rsidRPr="005610CA">
        <w:rPr>
          <w:b/>
          <w:color w:val="EE6821"/>
        </w:rPr>
        <w:t>P</w:t>
      </w:r>
      <w:r w:rsidRPr="005610CA">
        <w:rPr>
          <w:b/>
          <w:color w:val="EE6821"/>
        </w:rPr>
        <w:t>age</w:t>
      </w:r>
    </w:p>
    <w:p w:rsidR="001F1692" w:rsidRDefault="00815530" w:rsidP="002F789B">
      <w:pPr>
        <w:pStyle w:val="01BSCCParagraphbodystyle"/>
        <w:rPr>
          <w:color w:val="EE6821"/>
        </w:rPr>
      </w:pPr>
      <w:r>
        <w:rPr>
          <w:color w:val="EE6821"/>
        </w:rPr>
        <w:t xml:space="preserve">1. </w:t>
      </w:r>
      <w:r w:rsidR="00161853">
        <w:rPr>
          <w:color w:val="EE6821"/>
        </w:rPr>
        <w:t>Summary</w:t>
      </w:r>
      <w:r w:rsidR="00161853">
        <w:rPr>
          <w:color w:val="EE6821"/>
        </w:rPr>
        <w:tab/>
      </w:r>
      <w:r w:rsidR="00161853">
        <w:rPr>
          <w:color w:val="EE6821"/>
        </w:rPr>
        <w:tab/>
      </w:r>
      <w:r w:rsidR="00161853">
        <w:rPr>
          <w:color w:val="EE6821"/>
        </w:rPr>
        <w:tab/>
      </w:r>
      <w:r w:rsidR="00161853">
        <w:rPr>
          <w:color w:val="EE6821"/>
        </w:rPr>
        <w:tab/>
      </w:r>
      <w:r w:rsidR="00161853">
        <w:rPr>
          <w:color w:val="EE6821"/>
        </w:rPr>
        <w:tab/>
      </w:r>
      <w:r w:rsidR="00161853">
        <w:rPr>
          <w:color w:val="EE6821"/>
        </w:rPr>
        <w:tab/>
      </w:r>
      <w:r w:rsidR="00161853">
        <w:rPr>
          <w:color w:val="EE6821"/>
        </w:rPr>
        <w:tab/>
      </w:r>
      <w:r w:rsidR="00161853">
        <w:rPr>
          <w:color w:val="EE6821"/>
        </w:rPr>
        <w:tab/>
      </w:r>
      <w:r w:rsidR="00161853">
        <w:rPr>
          <w:color w:val="EE6821"/>
        </w:rPr>
        <w:tab/>
      </w:r>
      <w:r w:rsidR="00161853">
        <w:rPr>
          <w:color w:val="EE6821"/>
        </w:rPr>
        <w:tab/>
      </w:r>
      <w:r w:rsidR="00900E01">
        <w:rPr>
          <w:color w:val="EE6821"/>
        </w:rPr>
        <w:t>1</w:t>
      </w:r>
    </w:p>
    <w:p w:rsidR="001F1692" w:rsidRDefault="00816919" w:rsidP="002F789B">
      <w:pPr>
        <w:pStyle w:val="01BSCCParagraphbodystyle"/>
        <w:rPr>
          <w:color w:val="EE6821"/>
        </w:rPr>
      </w:pPr>
      <w:r>
        <w:rPr>
          <w:color w:val="EE6821"/>
        </w:rPr>
        <w:t>2. Backgr</w:t>
      </w:r>
      <w:r w:rsidR="00161853">
        <w:rPr>
          <w:color w:val="EE6821"/>
        </w:rPr>
        <w:t xml:space="preserve">ound </w:t>
      </w:r>
      <w:r w:rsidR="00161853">
        <w:rPr>
          <w:color w:val="EE6821"/>
        </w:rPr>
        <w:tab/>
      </w:r>
      <w:r w:rsidR="00161853">
        <w:rPr>
          <w:color w:val="EE6821"/>
        </w:rPr>
        <w:tab/>
      </w:r>
      <w:r w:rsidR="00161853">
        <w:rPr>
          <w:color w:val="EE6821"/>
        </w:rPr>
        <w:tab/>
      </w:r>
      <w:r w:rsidR="00161853">
        <w:rPr>
          <w:color w:val="EE6821"/>
        </w:rPr>
        <w:tab/>
      </w:r>
      <w:r>
        <w:rPr>
          <w:color w:val="EE6821"/>
        </w:rPr>
        <w:tab/>
      </w:r>
      <w:r>
        <w:rPr>
          <w:color w:val="EE6821"/>
        </w:rPr>
        <w:tab/>
      </w:r>
      <w:r>
        <w:rPr>
          <w:color w:val="EE6821"/>
        </w:rPr>
        <w:tab/>
      </w:r>
      <w:r w:rsidR="001F1692">
        <w:rPr>
          <w:color w:val="EE6821"/>
        </w:rPr>
        <w:tab/>
      </w:r>
      <w:r w:rsidR="001F1692">
        <w:rPr>
          <w:color w:val="EE6821"/>
        </w:rPr>
        <w:tab/>
      </w:r>
      <w:r w:rsidR="00900E01">
        <w:rPr>
          <w:color w:val="EE6821"/>
        </w:rPr>
        <w:t>1</w:t>
      </w:r>
    </w:p>
    <w:p w:rsidR="00816919" w:rsidRDefault="001F1692" w:rsidP="002F789B">
      <w:pPr>
        <w:pStyle w:val="01BSCCParagraphbodystyle"/>
        <w:rPr>
          <w:color w:val="EE6821"/>
        </w:rPr>
      </w:pPr>
      <w:r>
        <w:rPr>
          <w:color w:val="EE6821"/>
        </w:rPr>
        <w:t>3. Objectives</w:t>
      </w:r>
      <w:r w:rsidR="00161853">
        <w:rPr>
          <w:color w:val="EE6821"/>
        </w:rPr>
        <w:tab/>
      </w:r>
      <w:r w:rsidR="00161853">
        <w:rPr>
          <w:color w:val="EE6821"/>
        </w:rPr>
        <w:tab/>
      </w:r>
      <w:r w:rsidR="00161853">
        <w:rPr>
          <w:color w:val="EE6821"/>
        </w:rPr>
        <w:tab/>
      </w:r>
      <w:r w:rsidR="00161853">
        <w:rPr>
          <w:color w:val="EE6821"/>
        </w:rPr>
        <w:tab/>
      </w:r>
      <w:r w:rsidR="00161853">
        <w:rPr>
          <w:color w:val="EE6821"/>
        </w:rPr>
        <w:tab/>
      </w:r>
      <w:r w:rsidR="00816919">
        <w:rPr>
          <w:color w:val="EE6821"/>
        </w:rPr>
        <w:tab/>
      </w:r>
      <w:r w:rsidR="00816919">
        <w:rPr>
          <w:color w:val="EE6821"/>
        </w:rPr>
        <w:tab/>
      </w:r>
      <w:r w:rsidR="00816919">
        <w:rPr>
          <w:color w:val="EE6821"/>
        </w:rPr>
        <w:tab/>
      </w:r>
      <w:r w:rsidR="00816919">
        <w:rPr>
          <w:color w:val="EE6821"/>
        </w:rPr>
        <w:tab/>
      </w:r>
      <w:r w:rsidR="00900E01">
        <w:rPr>
          <w:color w:val="EE6821"/>
        </w:rPr>
        <w:t>3</w:t>
      </w:r>
    </w:p>
    <w:p w:rsidR="001F1692" w:rsidRDefault="00816919" w:rsidP="002F789B">
      <w:pPr>
        <w:pStyle w:val="01BSCCParagraphbodystyle"/>
        <w:rPr>
          <w:color w:val="EE6821"/>
        </w:rPr>
      </w:pPr>
      <w:r>
        <w:rPr>
          <w:color w:val="EE6821"/>
        </w:rPr>
        <w:t>4. Scope</w:t>
      </w:r>
      <w:r w:rsidR="00161853">
        <w:rPr>
          <w:color w:val="EE6821"/>
        </w:rPr>
        <w:tab/>
      </w:r>
      <w:r w:rsidR="00161853">
        <w:rPr>
          <w:color w:val="EE6821"/>
        </w:rPr>
        <w:tab/>
      </w:r>
      <w:r w:rsidR="00161853">
        <w:rPr>
          <w:color w:val="EE6821"/>
        </w:rPr>
        <w:tab/>
      </w:r>
      <w:r w:rsidR="00161853">
        <w:rPr>
          <w:color w:val="EE6821"/>
        </w:rPr>
        <w:tab/>
      </w:r>
      <w:r>
        <w:rPr>
          <w:color w:val="EE6821"/>
        </w:rPr>
        <w:tab/>
      </w:r>
      <w:r>
        <w:rPr>
          <w:color w:val="EE6821"/>
        </w:rPr>
        <w:tab/>
      </w:r>
      <w:r>
        <w:rPr>
          <w:color w:val="EE6821"/>
        </w:rPr>
        <w:tab/>
      </w:r>
      <w:r>
        <w:rPr>
          <w:color w:val="EE6821"/>
        </w:rPr>
        <w:tab/>
      </w:r>
      <w:r w:rsidR="001F1692">
        <w:rPr>
          <w:color w:val="EE6821"/>
        </w:rPr>
        <w:tab/>
      </w:r>
      <w:r w:rsidR="001F1692">
        <w:rPr>
          <w:color w:val="EE6821"/>
        </w:rPr>
        <w:tab/>
      </w:r>
      <w:r w:rsidR="00900E01">
        <w:rPr>
          <w:color w:val="EE6821"/>
        </w:rPr>
        <w:t>4</w:t>
      </w:r>
    </w:p>
    <w:p w:rsidR="001F1692" w:rsidRDefault="00816919" w:rsidP="002F789B">
      <w:pPr>
        <w:pStyle w:val="01BSCCParagraphbodystyle"/>
        <w:rPr>
          <w:color w:val="EE6821"/>
        </w:rPr>
      </w:pPr>
      <w:r>
        <w:rPr>
          <w:color w:val="EE6821"/>
        </w:rPr>
        <w:t>5</w:t>
      </w:r>
      <w:r w:rsidR="001F1692">
        <w:rPr>
          <w:color w:val="EE6821"/>
        </w:rPr>
        <w:t xml:space="preserve">. </w:t>
      </w:r>
      <w:r w:rsidR="00161853">
        <w:rPr>
          <w:color w:val="EE6821"/>
        </w:rPr>
        <w:t>Policy details</w:t>
      </w:r>
      <w:r w:rsidR="00161853">
        <w:rPr>
          <w:color w:val="EE6821"/>
        </w:rPr>
        <w:tab/>
      </w:r>
      <w:r w:rsidR="00161853">
        <w:rPr>
          <w:color w:val="EE6821"/>
        </w:rPr>
        <w:tab/>
      </w:r>
      <w:r w:rsidR="00161853">
        <w:rPr>
          <w:color w:val="EE6821"/>
        </w:rPr>
        <w:tab/>
      </w:r>
      <w:r w:rsidR="00161853">
        <w:rPr>
          <w:color w:val="EE6821"/>
        </w:rPr>
        <w:tab/>
      </w:r>
      <w:r w:rsidR="00161853">
        <w:rPr>
          <w:color w:val="EE6821"/>
        </w:rPr>
        <w:tab/>
      </w:r>
      <w:r w:rsidR="00161853">
        <w:rPr>
          <w:color w:val="EE6821"/>
        </w:rPr>
        <w:tab/>
      </w:r>
      <w:r w:rsidR="00161853">
        <w:rPr>
          <w:color w:val="EE6821"/>
        </w:rPr>
        <w:tab/>
      </w:r>
      <w:r w:rsidR="00161853">
        <w:rPr>
          <w:color w:val="EE6821"/>
        </w:rPr>
        <w:tab/>
      </w:r>
      <w:r>
        <w:rPr>
          <w:color w:val="EE6821"/>
        </w:rPr>
        <w:tab/>
      </w:r>
      <w:r w:rsidR="00900E01">
        <w:rPr>
          <w:color w:val="EE6821"/>
        </w:rPr>
        <w:t>5</w:t>
      </w:r>
    </w:p>
    <w:p w:rsidR="00816919" w:rsidRDefault="00816919" w:rsidP="002F789B">
      <w:pPr>
        <w:pStyle w:val="01BSCCParagraphbodystyle"/>
        <w:rPr>
          <w:color w:val="EE6821"/>
        </w:rPr>
      </w:pPr>
      <w:r>
        <w:rPr>
          <w:color w:val="EE6821"/>
        </w:rPr>
        <w:t>6. Policy Management</w:t>
      </w:r>
      <w:r w:rsidR="00900E01">
        <w:rPr>
          <w:color w:val="EE6821"/>
        </w:rPr>
        <w:tab/>
      </w:r>
      <w:r w:rsidR="00900E01">
        <w:rPr>
          <w:color w:val="EE6821"/>
        </w:rPr>
        <w:tab/>
      </w:r>
      <w:r w:rsidR="00900E01">
        <w:rPr>
          <w:color w:val="EE6821"/>
        </w:rPr>
        <w:tab/>
      </w:r>
      <w:r w:rsidR="00900E01">
        <w:rPr>
          <w:color w:val="EE6821"/>
        </w:rPr>
        <w:tab/>
      </w:r>
      <w:r w:rsidR="00900E01">
        <w:rPr>
          <w:color w:val="EE6821"/>
        </w:rPr>
        <w:tab/>
      </w:r>
      <w:r w:rsidR="00900E01">
        <w:rPr>
          <w:color w:val="EE6821"/>
        </w:rPr>
        <w:tab/>
      </w:r>
      <w:r w:rsidR="00900E01">
        <w:rPr>
          <w:color w:val="EE6821"/>
        </w:rPr>
        <w:tab/>
        <w:t xml:space="preserve">       12</w:t>
      </w:r>
    </w:p>
    <w:p w:rsidR="00816919" w:rsidRDefault="00816919" w:rsidP="002F789B">
      <w:pPr>
        <w:pStyle w:val="01BSCCParagraphbodystyle"/>
        <w:rPr>
          <w:color w:val="EE6821"/>
        </w:rPr>
      </w:pPr>
      <w:r>
        <w:rPr>
          <w:color w:val="EE6821"/>
        </w:rPr>
        <w:t xml:space="preserve">7. Breaches and non-compliance </w:t>
      </w:r>
      <w:r w:rsidR="00AF6EB9">
        <w:rPr>
          <w:color w:val="EE6821"/>
        </w:rPr>
        <w:tab/>
      </w:r>
      <w:r w:rsidR="00AF6EB9">
        <w:rPr>
          <w:color w:val="EE6821"/>
        </w:rPr>
        <w:tab/>
      </w:r>
      <w:r w:rsidR="00AF6EB9">
        <w:rPr>
          <w:color w:val="EE6821"/>
        </w:rPr>
        <w:tab/>
      </w:r>
      <w:r w:rsidR="00AF6EB9">
        <w:rPr>
          <w:color w:val="EE6821"/>
        </w:rPr>
        <w:tab/>
      </w:r>
      <w:r w:rsidR="00AF6EB9">
        <w:rPr>
          <w:color w:val="EE6821"/>
        </w:rPr>
        <w:tab/>
        <w:t xml:space="preserve">       12</w:t>
      </w:r>
    </w:p>
    <w:p w:rsidR="00816919" w:rsidRDefault="00816919" w:rsidP="002F789B">
      <w:pPr>
        <w:pStyle w:val="01BSCCParagraphbodystyle"/>
        <w:rPr>
          <w:color w:val="EE6821"/>
        </w:rPr>
      </w:pPr>
      <w:r>
        <w:rPr>
          <w:color w:val="EE6821"/>
        </w:rPr>
        <w:t xml:space="preserve">8. How the impact of the policy will be measured </w:t>
      </w:r>
      <w:r w:rsidR="00AF6EB9">
        <w:rPr>
          <w:color w:val="EE6821"/>
        </w:rPr>
        <w:tab/>
      </w:r>
      <w:r w:rsidR="00AF6EB9">
        <w:rPr>
          <w:color w:val="EE6821"/>
        </w:rPr>
        <w:tab/>
      </w:r>
      <w:r w:rsidR="00AF6EB9">
        <w:rPr>
          <w:color w:val="EE6821"/>
        </w:rPr>
        <w:tab/>
        <w:t xml:space="preserve">       12   </w:t>
      </w:r>
    </w:p>
    <w:p w:rsidR="001F1692" w:rsidRDefault="00816919" w:rsidP="002F789B">
      <w:pPr>
        <w:pStyle w:val="01BSCCParagraphbodystyle"/>
        <w:rPr>
          <w:color w:val="EE6821"/>
        </w:rPr>
      </w:pPr>
      <w:r>
        <w:rPr>
          <w:color w:val="EE6821"/>
        </w:rPr>
        <w:t>9. Evaluation and review</w:t>
      </w:r>
      <w:r w:rsidR="00161853">
        <w:rPr>
          <w:color w:val="EE6821"/>
        </w:rPr>
        <w:tab/>
      </w:r>
      <w:r w:rsidR="00161853">
        <w:rPr>
          <w:color w:val="EE6821"/>
        </w:rPr>
        <w:tab/>
      </w:r>
      <w:r w:rsidR="00161853">
        <w:rPr>
          <w:color w:val="EE6821"/>
        </w:rPr>
        <w:tab/>
      </w:r>
      <w:r w:rsidR="00161853">
        <w:rPr>
          <w:color w:val="EE6821"/>
        </w:rPr>
        <w:tab/>
      </w:r>
      <w:r w:rsidR="00161853">
        <w:rPr>
          <w:color w:val="EE6821"/>
        </w:rPr>
        <w:tab/>
      </w:r>
      <w:r w:rsidR="00161853">
        <w:rPr>
          <w:color w:val="EE6821"/>
        </w:rPr>
        <w:tab/>
      </w:r>
      <w:r w:rsidR="00161853">
        <w:rPr>
          <w:color w:val="EE6821"/>
        </w:rPr>
        <w:tab/>
      </w:r>
      <w:r>
        <w:rPr>
          <w:color w:val="EE6821"/>
        </w:rPr>
        <w:tab/>
      </w:r>
      <w:r w:rsidR="001F1692">
        <w:rPr>
          <w:color w:val="EE6821"/>
        </w:rPr>
        <w:t>x</w:t>
      </w:r>
    </w:p>
    <w:p w:rsidR="002F789B" w:rsidRPr="002F789B" w:rsidRDefault="001F1692" w:rsidP="002F789B">
      <w:pPr>
        <w:pStyle w:val="01BSCCParagraphbodystyle"/>
        <w:rPr>
          <w:color w:val="EE6821"/>
        </w:rPr>
      </w:pPr>
      <w:r>
        <w:rPr>
          <w:color w:val="EE6821"/>
        </w:rPr>
        <w:t>Annexes</w:t>
      </w:r>
      <w:r w:rsidR="002F789B" w:rsidRPr="002F789B">
        <w:rPr>
          <w:color w:val="EE6821"/>
        </w:rPr>
        <w:t xml:space="preserve">                      </w:t>
      </w:r>
    </w:p>
    <w:p w:rsidR="00EC3E41" w:rsidRDefault="00EC3E41" w:rsidP="00AC3D0A">
      <w:pPr>
        <w:pStyle w:val="01S2CCSubhead2"/>
      </w:pPr>
    </w:p>
    <w:p w:rsidR="005610CA" w:rsidRDefault="005610CA" w:rsidP="005610CA">
      <w:pPr>
        <w:pStyle w:val="01BSCCParagraphbodystyle"/>
      </w:pPr>
    </w:p>
    <w:p w:rsidR="005610CA" w:rsidRPr="005610CA" w:rsidRDefault="005610CA" w:rsidP="005610CA">
      <w:pPr>
        <w:pStyle w:val="01BSCCParagraphbodystyle"/>
      </w:pPr>
    </w:p>
    <w:p w:rsidR="001F285D" w:rsidRDefault="001F285D" w:rsidP="00AC3D0A">
      <w:pPr>
        <w:pStyle w:val="01S2CCSubhead2"/>
        <w:sectPr w:rsidR="001F285D" w:rsidSect="00CF2E8B">
          <w:pgSz w:w="11904" w:h="16834"/>
          <w:pgMar w:top="1701" w:right="1701" w:bottom="1361" w:left="1701" w:header="454" w:footer="454" w:gutter="0"/>
          <w:pgNumType w:start="1"/>
          <w:cols w:space="708"/>
          <w:titlePg/>
        </w:sectPr>
      </w:pPr>
    </w:p>
    <w:p w:rsidR="006A51B7" w:rsidRPr="005C2A4E" w:rsidRDefault="001F285D" w:rsidP="00AC3D0A">
      <w:pPr>
        <w:pStyle w:val="01S2CCSubhead2"/>
      </w:pPr>
      <w:r w:rsidRPr="005C2A4E">
        <w:lastRenderedPageBreak/>
        <w:t xml:space="preserve">1. </w:t>
      </w:r>
      <w:r w:rsidR="005C2A4E" w:rsidRPr="005C2A4E">
        <w:t>Summary</w:t>
      </w:r>
      <w:r w:rsidR="005610CA" w:rsidRPr="005C2A4E">
        <w:t xml:space="preserve"> </w:t>
      </w:r>
      <w:r w:rsidR="006A51B7" w:rsidRPr="005C2A4E">
        <w:t xml:space="preserve"> </w:t>
      </w:r>
    </w:p>
    <w:p w:rsidR="00D1710A" w:rsidRDefault="00F04051" w:rsidP="00F04051">
      <w:pPr>
        <w:pStyle w:val="01BSCCParagraphbodystyle"/>
        <w:tabs>
          <w:tab w:val="left" w:pos="4920"/>
        </w:tabs>
      </w:pPr>
      <w:r>
        <w:tab/>
      </w:r>
    </w:p>
    <w:p w:rsidR="00F04051" w:rsidRPr="008E20B6" w:rsidRDefault="00F04051" w:rsidP="00F04051">
      <w:pPr>
        <w:pStyle w:val="01S2CCSubhead2"/>
        <w:spacing w:after="120"/>
        <w:rPr>
          <w:sz w:val="22"/>
          <w:szCs w:val="22"/>
        </w:rPr>
      </w:pPr>
      <w:r w:rsidRPr="008E20B6">
        <w:rPr>
          <w:sz w:val="22"/>
          <w:szCs w:val="22"/>
        </w:rPr>
        <w:t>Headlines</w:t>
      </w:r>
    </w:p>
    <w:p w:rsidR="00F04051" w:rsidRDefault="00F04051" w:rsidP="00F04051">
      <w:pPr>
        <w:spacing w:after="120"/>
        <w:rPr>
          <w:rFonts w:ascii="Verdana" w:hAnsi="Verdana"/>
          <w:sz w:val="22"/>
          <w:szCs w:val="22"/>
        </w:rPr>
      </w:pPr>
      <w:r>
        <w:rPr>
          <w:rFonts w:ascii="Verdana" w:hAnsi="Verdana"/>
          <w:sz w:val="22"/>
          <w:szCs w:val="22"/>
        </w:rPr>
        <w:t>This policy sets out how HRA Service Charge Policy has been developed and how it should now be implemented.</w:t>
      </w:r>
    </w:p>
    <w:p w:rsidR="00F04051" w:rsidRDefault="00F04051" w:rsidP="00F04051">
      <w:pPr>
        <w:spacing w:after="120"/>
        <w:rPr>
          <w:rFonts w:ascii="Verdana" w:hAnsi="Verdana"/>
          <w:sz w:val="22"/>
          <w:szCs w:val="22"/>
        </w:rPr>
      </w:pPr>
      <w:r>
        <w:rPr>
          <w:rFonts w:ascii="Verdana" w:hAnsi="Verdana"/>
          <w:sz w:val="22"/>
          <w:szCs w:val="22"/>
        </w:rPr>
        <w:t>Sections include:</w:t>
      </w:r>
    </w:p>
    <w:p w:rsidR="00F04051" w:rsidRPr="00F04051" w:rsidRDefault="00F04051" w:rsidP="00F04051">
      <w:pPr>
        <w:pStyle w:val="ListParagraph"/>
        <w:numPr>
          <w:ilvl w:val="0"/>
          <w:numId w:val="33"/>
        </w:numPr>
        <w:spacing w:after="120"/>
        <w:rPr>
          <w:rFonts w:ascii="Verdana" w:hAnsi="Verdana"/>
          <w:sz w:val="22"/>
          <w:szCs w:val="22"/>
        </w:rPr>
      </w:pPr>
      <w:r w:rsidRPr="00F04051">
        <w:rPr>
          <w:rFonts w:ascii="Verdana" w:hAnsi="Verdana"/>
          <w:sz w:val="22"/>
          <w:szCs w:val="22"/>
        </w:rPr>
        <w:t>Background – why the policy is needed</w:t>
      </w:r>
    </w:p>
    <w:p w:rsidR="00F04051" w:rsidRPr="00F04051" w:rsidRDefault="00F04051" w:rsidP="00F04051">
      <w:pPr>
        <w:pStyle w:val="ListParagraph"/>
        <w:numPr>
          <w:ilvl w:val="0"/>
          <w:numId w:val="33"/>
        </w:numPr>
        <w:spacing w:after="120"/>
        <w:rPr>
          <w:rFonts w:ascii="Verdana" w:hAnsi="Verdana"/>
          <w:sz w:val="22"/>
          <w:szCs w:val="22"/>
        </w:rPr>
      </w:pPr>
      <w:r w:rsidRPr="00F04051">
        <w:rPr>
          <w:rFonts w:ascii="Verdana" w:hAnsi="Verdana"/>
          <w:sz w:val="22"/>
          <w:szCs w:val="22"/>
        </w:rPr>
        <w:t>Objectives – what the policy aims to achieve</w:t>
      </w:r>
    </w:p>
    <w:p w:rsidR="00F04051" w:rsidRPr="00F04051" w:rsidRDefault="00F04051" w:rsidP="00F04051">
      <w:pPr>
        <w:pStyle w:val="ListParagraph"/>
        <w:numPr>
          <w:ilvl w:val="0"/>
          <w:numId w:val="33"/>
        </w:numPr>
        <w:spacing w:after="120"/>
        <w:rPr>
          <w:rFonts w:ascii="Verdana" w:hAnsi="Verdana"/>
          <w:sz w:val="22"/>
          <w:szCs w:val="22"/>
        </w:rPr>
      </w:pPr>
      <w:r w:rsidRPr="00F04051">
        <w:rPr>
          <w:rFonts w:ascii="Verdana" w:hAnsi="Verdana"/>
          <w:sz w:val="22"/>
          <w:szCs w:val="22"/>
        </w:rPr>
        <w:t>Scope – what the policy covers</w:t>
      </w:r>
    </w:p>
    <w:p w:rsidR="00F04051" w:rsidRPr="00F04051" w:rsidRDefault="00F04051" w:rsidP="00F04051">
      <w:pPr>
        <w:pStyle w:val="ListParagraph"/>
        <w:numPr>
          <w:ilvl w:val="0"/>
          <w:numId w:val="33"/>
        </w:numPr>
        <w:spacing w:after="120"/>
        <w:rPr>
          <w:rFonts w:ascii="Verdana" w:hAnsi="Verdana"/>
          <w:sz w:val="22"/>
          <w:szCs w:val="22"/>
        </w:rPr>
      </w:pPr>
      <w:r w:rsidRPr="00F04051">
        <w:rPr>
          <w:rFonts w:ascii="Verdana" w:hAnsi="Verdana"/>
          <w:sz w:val="22"/>
          <w:szCs w:val="22"/>
        </w:rPr>
        <w:t>Policy details</w:t>
      </w:r>
    </w:p>
    <w:p w:rsidR="00F04051" w:rsidRPr="00F04051" w:rsidRDefault="00F04051" w:rsidP="00F04051">
      <w:pPr>
        <w:pStyle w:val="ListParagraph"/>
        <w:numPr>
          <w:ilvl w:val="0"/>
          <w:numId w:val="33"/>
        </w:numPr>
        <w:spacing w:after="120"/>
        <w:rPr>
          <w:rFonts w:ascii="Verdana" w:hAnsi="Verdana"/>
          <w:sz w:val="22"/>
          <w:szCs w:val="22"/>
        </w:rPr>
      </w:pPr>
      <w:r w:rsidRPr="00F04051">
        <w:rPr>
          <w:rFonts w:ascii="Verdana" w:hAnsi="Verdana"/>
          <w:sz w:val="22"/>
          <w:szCs w:val="22"/>
        </w:rPr>
        <w:t>Service charge setting</w:t>
      </w:r>
    </w:p>
    <w:p w:rsidR="00F04051" w:rsidRPr="00F04051" w:rsidRDefault="00F04051" w:rsidP="00F04051">
      <w:pPr>
        <w:pStyle w:val="ListParagraph"/>
        <w:numPr>
          <w:ilvl w:val="0"/>
          <w:numId w:val="33"/>
        </w:numPr>
        <w:spacing w:after="120"/>
        <w:rPr>
          <w:rFonts w:ascii="Verdana" w:hAnsi="Verdana"/>
          <w:sz w:val="22"/>
          <w:szCs w:val="22"/>
        </w:rPr>
      </w:pPr>
      <w:r w:rsidRPr="00F04051">
        <w:rPr>
          <w:rFonts w:ascii="Verdana" w:hAnsi="Verdana"/>
          <w:sz w:val="22"/>
          <w:szCs w:val="22"/>
        </w:rPr>
        <w:t>Sinking Funds</w:t>
      </w:r>
    </w:p>
    <w:p w:rsidR="00F04051" w:rsidRPr="00F04051" w:rsidRDefault="00F04051" w:rsidP="00F04051">
      <w:pPr>
        <w:pStyle w:val="ListParagraph"/>
        <w:numPr>
          <w:ilvl w:val="0"/>
          <w:numId w:val="33"/>
        </w:numPr>
        <w:spacing w:after="120"/>
        <w:rPr>
          <w:rFonts w:ascii="Verdana" w:hAnsi="Verdana"/>
          <w:sz w:val="22"/>
          <w:szCs w:val="22"/>
        </w:rPr>
      </w:pPr>
      <w:r w:rsidRPr="00F04051">
        <w:rPr>
          <w:rFonts w:ascii="Verdana" w:hAnsi="Verdana"/>
          <w:sz w:val="22"/>
          <w:szCs w:val="22"/>
        </w:rPr>
        <w:t>Payments</w:t>
      </w:r>
    </w:p>
    <w:p w:rsidR="00F04051" w:rsidRPr="00F04051" w:rsidRDefault="00F04051" w:rsidP="00F04051">
      <w:pPr>
        <w:pStyle w:val="ListParagraph"/>
        <w:numPr>
          <w:ilvl w:val="0"/>
          <w:numId w:val="33"/>
        </w:numPr>
        <w:spacing w:after="120"/>
        <w:rPr>
          <w:rFonts w:ascii="Verdana" w:hAnsi="Verdana"/>
          <w:sz w:val="22"/>
          <w:szCs w:val="22"/>
        </w:rPr>
      </w:pPr>
      <w:r w:rsidRPr="00F04051">
        <w:rPr>
          <w:rFonts w:ascii="Verdana" w:hAnsi="Verdana"/>
          <w:sz w:val="22"/>
          <w:szCs w:val="22"/>
        </w:rPr>
        <w:t xml:space="preserve">How are different residents affected </w:t>
      </w:r>
    </w:p>
    <w:p w:rsidR="00F04051" w:rsidRPr="00F04051" w:rsidRDefault="00F04051" w:rsidP="00F04051">
      <w:pPr>
        <w:pStyle w:val="ListParagraph"/>
        <w:numPr>
          <w:ilvl w:val="0"/>
          <w:numId w:val="33"/>
        </w:numPr>
        <w:spacing w:after="120"/>
        <w:rPr>
          <w:rFonts w:ascii="Verdana" w:hAnsi="Verdana"/>
          <w:sz w:val="22"/>
          <w:szCs w:val="22"/>
        </w:rPr>
      </w:pPr>
      <w:r w:rsidRPr="00F04051">
        <w:rPr>
          <w:rFonts w:ascii="Verdana" w:hAnsi="Verdana"/>
          <w:sz w:val="22"/>
          <w:szCs w:val="22"/>
        </w:rPr>
        <w:t>Consultation and Information</w:t>
      </w:r>
    </w:p>
    <w:p w:rsidR="00F04051" w:rsidRPr="00F04051" w:rsidRDefault="00F04051" w:rsidP="00F04051">
      <w:pPr>
        <w:pStyle w:val="ListParagraph"/>
        <w:numPr>
          <w:ilvl w:val="0"/>
          <w:numId w:val="33"/>
        </w:numPr>
        <w:spacing w:after="120"/>
        <w:rPr>
          <w:rFonts w:ascii="Verdana" w:hAnsi="Verdana"/>
          <w:sz w:val="22"/>
          <w:szCs w:val="22"/>
        </w:rPr>
      </w:pPr>
      <w:r w:rsidRPr="00F04051">
        <w:rPr>
          <w:rFonts w:ascii="Verdana" w:hAnsi="Verdana"/>
          <w:sz w:val="22"/>
          <w:szCs w:val="22"/>
        </w:rPr>
        <w:t>Policy management</w:t>
      </w:r>
    </w:p>
    <w:p w:rsidR="00F04051" w:rsidRPr="00F04051" w:rsidRDefault="00F04051" w:rsidP="00F04051">
      <w:pPr>
        <w:pStyle w:val="ListParagraph"/>
        <w:numPr>
          <w:ilvl w:val="0"/>
          <w:numId w:val="33"/>
        </w:numPr>
        <w:spacing w:after="120"/>
        <w:rPr>
          <w:rFonts w:ascii="Verdana" w:hAnsi="Verdana"/>
          <w:sz w:val="22"/>
          <w:szCs w:val="22"/>
        </w:rPr>
      </w:pPr>
      <w:r w:rsidRPr="00F04051">
        <w:rPr>
          <w:rFonts w:ascii="Verdana" w:hAnsi="Verdana"/>
          <w:sz w:val="22"/>
          <w:szCs w:val="22"/>
        </w:rPr>
        <w:t>Complaints</w:t>
      </w:r>
    </w:p>
    <w:p w:rsidR="00F04051" w:rsidRPr="00F04051" w:rsidRDefault="00F04051" w:rsidP="00F04051">
      <w:pPr>
        <w:pStyle w:val="ListParagraph"/>
        <w:numPr>
          <w:ilvl w:val="0"/>
          <w:numId w:val="33"/>
        </w:numPr>
        <w:spacing w:after="120"/>
        <w:rPr>
          <w:rFonts w:ascii="Verdana" w:hAnsi="Verdana"/>
          <w:sz w:val="22"/>
          <w:szCs w:val="22"/>
        </w:rPr>
      </w:pPr>
      <w:r w:rsidRPr="00F04051">
        <w:rPr>
          <w:rFonts w:ascii="Verdana" w:hAnsi="Verdana"/>
          <w:sz w:val="22"/>
          <w:szCs w:val="22"/>
        </w:rPr>
        <w:t>Breaches and non-compliance</w:t>
      </w:r>
    </w:p>
    <w:p w:rsidR="00F04051" w:rsidRPr="00F04051" w:rsidRDefault="00F04051" w:rsidP="00F04051">
      <w:pPr>
        <w:pStyle w:val="ListParagraph"/>
        <w:numPr>
          <w:ilvl w:val="0"/>
          <w:numId w:val="33"/>
        </w:numPr>
        <w:spacing w:after="120"/>
        <w:rPr>
          <w:rFonts w:ascii="Verdana" w:hAnsi="Verdana"/>
          <w:sz w:val="22"/>
          <w:szCs w:val="22"/>
        </w:rPr>
      </w:pPr>
      <w:r w:rsidRPr="00F04051">
        <w:rPr>
          <w:rFonts w:ascii="Verdana" w:hAnsi="Verdana"/>
          <w:sz w:val="22"/>
          <w:szCs w:val="22"/>
        </w:rPr>
        <w:t xml:space="preserve">How the impact of the policy will be measured </w:t>
      </w:r>
    </w:p>
    <w:p w:rsidR="00F04051" w:rsidRPr="00F04051" w:rsidRDefault="00F04051" w:rsidP="00F04051">
      <w:pPr>
        <w:pStyle w:val="ListParagraph"/>
        <w:numPr>
          <w:ilvl w:val="0"/>
          <w:numId w:val="33"/>
        </w:numPr>
        <w:spacing w:after="120"/>
        <w:rPr>
          <w:rFonts w:ascii="Verdana" w:hAnsi="Verdana"/>
          <w:sz w:val="22"/>
          <w:szCs w:val="22"/>
        </w:rPr>
      </w:pPr>
      <w:r w:rsidRPr="00F04051">
        <w:rPr>
          <w:rFonts w:ascii="Verdana" w:hAnsi="Verdana"/>
          <w:sz w:val="22"/>
          <w:szCs w:val="22"/>
        </w:rPr>
        <w:t>Evaluation and review</w:t>
      </w:r>
    </w:p>
    <w:p w:rsidR="00F04051" w:rsidRPr="00F04051" w:rsidRDefault="00F04051" w:rsidP="00F04051">
      <w:pPr>
        <w:pStyle w:val="ListParagraph"/>
        <w:numPr>
          <w:ilvl w:val="0"/>
          <w:numId w:val="33"/>
        </w:numPr>
        <w:spacing w:after="120"/>
        <w:rPr>
          <w:rFonts w:ascii="Verdana" w:hAnsi="Verdana"/>
          <w:sz w:val="22"/>
          <w:szCs w:val="22"/>
        </w:rPr>
      </w:pPr>
      <w:r w:rsidRPr="00F04051">
        <w:rPr>
          <w:rFonts w:ascii="Verdana" w:hAnsi="Verdana"/>
          <w:sz w:val="22"/>
          <w:szCs w:val="22"/>
        </w:rPr>
        <w:t>Document Information</w:t>
      </w:r>
    </w:p>
    <w:p w:rsidR="00F04051" w:rsidRDefault="00F04051" w:rsidP="00F04051">
      <w:pPr>
        <w:pStyle w:val="Heading1"/>
        <w:spacing w:before="0" w:after="120"/>
        <w:rPr>
          <w:rFonts w:ascii="Verdana" w:hAnsi="Verdana"/>
          <w:sz w:val="22"/>
          <w:szCs w:val="22"/>
        </w:rPr>
      </w:pPr>
    </w:p>
    <w:p w:rsidR="00F04051" w:rsidRPr="008E20B6" w:rsidRDefault="00F04051" w:rsidP="00F04051">
      <w:pPr>
        <w:pStyle w:val="Heading1"/>
        <w:spacing w:before="0" w:after="120"/>
        <w:rPr>
          <w:rFonts w:ascii="Verdana" w:hAnsi="Verdana"/>
          <w:sz w:val="22"/>
          <w:szCs w:val="22"/>
        </w:rPr>
      </w:pPr>
      <w:r w:rsidRPr="008E20B6">
        <w:rPr>
          <w:rFonts w:ascii="Verdana" w:hAnsi="Verdana"/>
          <w:sz w:val="22"/>
          <w:szCs w:val="22"/>
        </w:rPr>
        <w:t>Distribution - who needs to be aware of this policy</w:t>
      </w:r>
    </w:p>
    <w:p w:rsidR="00F04051" w:rsidRPr="008E20B6" w:rsidRDefault="00A462AE" w:rsidP="00F04051">
      <w:pPr>
        <w:spacing w:after="120"/>
        <w:rPr>
          <w:rFonts w:ascii="Verdana" w:hAnsi="Verdana"/>
          <w:sz w:val="22"/>
          <w:szCs w:val="22"/>
        </w:rPr>
      </w:pPr>
      <w:r>
        <w:rPr>
          <w:rFonts w:ascii="Verdana" w:hAnsi="Verdana"/>
          <w:sz w:val="22"/>
          <w:szCs w:val="22"/>
        </w:rPr>
        <w:t xml:space="preserve">This policy is made available for </w:t>
      </w:r>
      <w:r w:rsidR="00F04051">
        <w:rPr>
          <w:rFonts w:ascii="Verdana" w:hAnsi="Verdana"/>
          <w:sz w:val="22"/>
          <w:szCs w:val="22"/>
        </w:rPr>
        <w:t>Councillors, Council Officers, Corserv staff including CHL</w:t>
      </w:r>
      <w:r w:rsidR="00E72B71">
        <w:rPr>
          <w:rFonts w:ascii="Verdana" w:hAnsi="Verdana"/>
          <w:sz w:val="22"/>
          <w:szCs w:val="22"/>
        </w:rPr>
        <w:t>, and Cormac. The policy is also available to tenants.</w:t>
      </w:r>
      <w:r w:rsidR="002C2837">
        <w:rPr>
          <w:rFonts w:ascii="Verdana" w:hAnsi="Verdana"/>
          <w:sz w:val="22"/>
          <w:szCs w:val="22"/>
        </w:rPr>
        <w:t xml:space="preserve"> </w:t>
      </w:r>
    </w:p>
    <w:p w:rsidR="00F04051" w:rsidRPr="008E20B6" w:rsidRDefault="00F04051" w:rsidP="00F04051">
      <w:pPr>
        <w:spacing w:after="120"/>
        <w:rPr>
          <w:rFonts w:ascii="Verdana" w:hAnsi="Verdana"/>
          <w:sz w:val="22"/>
          <w:szCs w:val="22"/>
        </w:rPr>
      </w:pPr>
    </w:p>
    <w:p w:rsidR="005C2A4E" w:rsidRPr="00AC3D0A" w:rsidRDefault="005C2A4E" w:rsidP="00AC3D0A">
      <w:pPr>
        <w:pStyle w:val="01S2CCSubhead2"/>
      </w:pPr>
      <w:r w:rsidRPr="005C2A4E">
        <w:t xml:space="preserve">2. </w:t>
      </w:r>
      <w:r w:rsidR="00F04051">
        <w:t>Background - why this policy needed</w:t>
      </w:r>
    </w:p>
    <w:p w:rsidR="00AC3D0A" w:rsidRDefault="00AC3D0A" w:rsidP="00AC3D0A">
      <w:pPr>
        <w:pStyle w:val="01BSCCParagraphbodystyle"/>
        <w:spacing w:after="0"/>
        <w:rPr>
          <w:szCs w:val="22"/>
        </w:rPr>
      </w:pPr>
    </w:p>
    <w:p w:rsidR="00F04051" w:rsidRDefault="00F04051" w:rsidP="00F04051">
      <w:pPr>
        <w:pStyle w:val="01BSCCParagraphbodystyle"/>
        <w:rPr>
          <w:szCs w:val="22"/>
        </w:rPr>
      </w:pPr>
      <w:r>
        <w:rPr>
          <w:szCs w:val="22"/>
        </w:rPr>
        <w:t>The service charges referred to in this policy are required to ensure that the Council recovers the cost of Housing Revenue Account (HRA) services provided to HRA tenants, HRA licensees</w:t>
      </w:r>
      <w:r w:rsidR="00E72B71">
        <w:rPr>
          <w:szCs w:val="22"/>
        </w:rPr>
        <w:t xml:space="preserve"> (of accommodation)</w:t>
      </w:r>
      <w:r>
        <w:rPr>
          <w:szCs w:val="22"/>
        </w:rPr>
        <w:t xml:space="preserve">, HRA leaseholders and RTB freeholders and their successors in title, for </w:t>
      </w:r>
      <w:r w:rsidR="00E72B71">
        <w:rPr>
          <w:szCs w:val="22"/>
        </w:rPr>
        <w:t xml:space="preserve">the cost of </w:t>
      </w:r>
      <w:r>
        <w:rPr>
          <w:szCs w:val="22"/>
        </w:rPr>
        <w:t xml:space="preserve">services which are not already included within the rent, license fee, ground rent or purchase price paid for their home. </w:t>
      </w:r>
    </w:p>
    <w:p w:rsidR="00805617" w:rsidRDefault="00805617" w:rsidP="00F04051">
      <w:pPr>
        <w:pStyle w:val="01BSCCParagraphbodystyle"/>
        <w:rPr>
          <w:szCs w:val="22"/>
        </w:rPr>
      </w:pPr>
      <w:r>
        <w:rPr>
          <w:szCs w:val="22"/>
        </w:rPr>
        <w:t xml:space="preserve">The fundamental principle is that the service charges </w:t>
      </w:r>
      <w:r w:rsidR="00340A0E">
        <w:rPr>
          <w:szCs w:val="22"/>
        </w:rPr>
        <w:t>made</w:t>
      </w:r>
      <w:r w:rsidR="00EE56C4">
        <w:rPr>
          <w:szCs w:val="22"/>
        </w:rPr>
        <w:t>;</w:t>
      </w:r>
      <w:r w:rsidR="00340A0E">
        <w:rPr>
          <w:szCs w:val="22"/>
        </w:rPr>
        <w:t xml:space="preserve"> </w:t>
      </w:r>
      <w:r>
        <w:rPr>
          <w:szCs w:val="22"/>
        </w:rPr>
        <w:t>cover the actual costs of services provided</w:t>
      </w:r>
      <w:r w:rsidR="00794CE4">
        <w:rPr>
          <w:szCs w:val="22"/>
        </w:rPr>
        <w:t xml:space="preserve">, </w:t>
      </w:r>
      <w:r w:rsidR="00340A0E">
        <w:rPr>
          <w:szCs w:val="22"/>
        </w:rPr>
        <w:t xml:space="preserve">the costs of </w:t>
      </w:r>
      <w:r w:rsidR="00794CE4">
        <w:rPr>
          <w:szCs w:val="22"/>
        </w:rPr>
        <w:t>which could go up or down, but will be adjusted accordingly on an annual basis.</w:t>
      </w:r>
      <w:r w:rsidR="002C2837">
        <w:rPr>
          <w:szCs w:val="22"/>
        </w:rPr>
        <w:t xml:space="preserve"> An administration charge of 10% of the actual costs will form a part of the charge. </w:t>
      </w:r>
      <w:r w:rsidR="00D335EB">
        <w:rPr>
          <w:szCs w:val="22"/>
        </w:rPr>
        <w:t>Refer to service charge s</w:t>
      </w:r>
      <w:r w:rsidR="002C2837">
        <w:rPr>
          <w:szCs w:val="22"/>
        </w:rPr>
        <w:t xml:space="preserve">etting </w:t>
      </w:r>
      <w:r w:rsidR="00D335EB">
        <w:rPr>
          <w:szCs w:val="22"/>
        </w:rPr>
        <w:t>i</w:t>
      </w:r>
      <w:r w:rsidR="002C2837">
        <w:rPr>
          <w:szCs w:val="22"/>
        </w:rPr>
        <w:t xml:space="preserve">n </w:t>
      </w:r>
      <w:r w:rsidR="00D335EB">
        <w:rPr>
          <w:szCs w:val="22"/>
        </w:rPr>
        <w:t xml:space="preserve">section </w:t>
      </w:r>
      <w:r w:rsidR="002C2837">
        <w:rPr>
          <w:szCs w:val="22"/>
        </w:rPr>
        <w:t>5) Policy details</w:t>
      </w:r>
      <w:r w:rsidR="00B042A7">
        <w:rPr>
          <w:szCs w:val="22"/>
        </w:rPr>
        <w:t>.</w:t>
      </w:r>
    </w:p>
    <w:p w:rsidR="00F04051" w:rsidRDefault="00F04051" w:rsidP="00F04051">
      <w:pPr>
        <w:pStyle w:val="01BSCCParagraphbodystyle"/>
        <w:rPr>
          <w:szCs w:val="22"/>
        </w:rPr>
      </w:pPr>
      <w:r>
        <w:rPr>
          <w:szCs w:val="22"/>
        </w:rPr>
        <w:t xml:space="preserve">These service charges are </w:t>
      </w:r>
      <w:r w:rsidR="00E72B71">
        <w:rPr>
          <w:szCs w:val="22"/>
        </w:rPr>
        <w:t>required</w:t>
      </w:r>
      <w:r>
        <w:rPr>
          <w:szCs w:val="22"/>
        </w:rPr>
        <w:t xml:space="preserve"> to fund the provision, maintenance</w:t>
      </w:r>
      <w:r w:rsidR="00E72B71">
        <w:rPr>
          <w:szCs w:val="22"/>
        </w:rPr>
        <w:t>/repair</w:t>
      </w:r>
      <w:r>
        <w:rPr>
          <w:szCs w:val="22"/>
        </w:rPr>
        <w:t xml:space="preserve"> and renewal of services covering communal areas of land and buildings owned by the Council and paid for </w:t>
      </w:r>
      <w:r w:rsidR="00E72B71">
        <w:rPr>
          <w:szCs w:val="22"/>
        </w:rPr>
        <w:t>from</w:t>
      </w:r>
      <w:r>
        <w:rPr>
          <w:szCs w:val="22"/>
        </w:rPr>
        <w:t xml:space="preserve"> the Housing Revenue Account (HRA)</w:t>
      </w:r>
      <w:r w:rsidR="00E72B71">
        <w:rPr>
          <w:szCs w:val="22"/>
        </w:rPr>
        <w:t>, which the Council has a statutory duty to maintain and budget for each year.</w:t>
      </w:r>
    </w:p>
    <w:p w:rsidR="00F04051" w:rsidRDefault="00F04051" w:rsidP="00F04051">
      <w:pPr>
        <w:pStyle w:val="01BSCCParagraphbodystyle"/>
        <w:rPr>
          <w:szCs w:val="22"/>
        </w:rPr>
      </w:pPr>
      <w:r>
        <w:rPr>
          <w:szCs w:val="22"/>
        </w:rPr>
        <w:lastRenderedPageBreak/>
        <w:t>These amenity / communal areas of HRA land and HRA buildings fall into two distinct types:</w:t>
      </w:r>
    </w:p>
    <w:p w:rsidR="00F04051" w:rsidRDefault="00F04051" w:rsidP="00F04051">
      <w:pPr>
        <w:pStyle w:val="01BSCCParagraphbodystyle"/>
        <w:numPr>
          <w:ilvl w:val="0"/>
          <w:numId w:val="26"/>
        </w:numPr>
        <w:rPr>
          <w:szCs w:val="22"/>
        </w:rPr>
      </w:pPr>
      <w:r w:rsidRPr="00636C02">
        <w:rPr>
          <w:b/>
          <w:szCs w:val="22"/>
        </w:rPr>
        <w:t>Amenity areas on HRA estates</w:t>
      </w:r>
      <w:r>
        <w:rPr>
          <w:szCs w:val="22"/>
        </w:rPr>
        <w:t xml:space="preserve">  which includes unadopted: grassed areas, soft and hard landscaped areas;  roads, footpaths and car parks, lighting and any other general communal services maintainable by the Council’s HRA and not the Council’s General Fund. These areas can normally be used by all residents of and visitors to, the estate.</w:t>
      </w:r>
    </w:p>
    <w:p w:rsidR="00F04051" w:rsidRDefault="00F04051" w:rsidP="00F04051">
      <w:pPr>
        <w:pStyle w:val="01BSCCParagraphbodystyle"/>
        <w:numPr>
          <w:ilvl w:val="0"/>
          <w:numId w:val="26"/>
        </w:numPr>
        <w:rPr>
          <w:szCs w:val="22"/>
        </w:rPr>
      </w:pPr>
      <w:r w:rsidRPr="00636C02">
        <w:rPr>
          <w:b/>
          <w:szCs w:val="22"/>
        </w:rPr>
        <w:t>Communal areas in and around HRA owned blocks of flats and grouped homes</w:t>
      </w:r>
      <w:r>
        <w:rPr>
          <w:szCs w:val="22"/>
        </w:rPr>
        <w:t xml:space="preserve"> such as accommodation for the elderly, hostels for the homeless etc. provided solely for the benefit of the residents of the block or grouped home and their visitors.</w:t>
      </w:r>
      <w:r>
        <w:rPr>
          <w:szCs w:val="22"/>
        </w:rPr>
        <w:tab/>
        <w:t xml:space="preserve"> These areas may have footpaths which bisect the communal areas, but this does not change the intention of the sole use.</w:t>
      </w:r>
    </w:p>
    <w:p w:rsidR="00F04051" w:rsidRDefault="00F04051" w:rsidP="00F04051">
      <w:pPr>
        <w:pStyle w:val="01BSCCParagraphbodystyle"/>
        <w:ind w:left="720"/>
        <w:rPr>
          <w:szCs w:val="22"/>
        </w:rPr>
      </w:pPr>
      <w:r>
        <w:rPr>
          <w:szCs w:val="22"/>
        </w:rPr>
        <w:t>These common areas of blocks of flats and grouped homes can be sub-divided into 3 categories:</w:t>
      </w:r>
    </w:p>
    <w:p w:rsidR="00F04051" w:rsidRDefault="00F04051" w:rsidP="00F04051">
      <w:pPr>
        <w:pStyle w:val="01BSCCParagraphbodystyle"/>
        <w:numPr>
          <w:ilvl w:val="1"/>
          <w:numId w:val="26"/>
        </w:numPr>
        <w:ind w:left="1134"/>
        <w:rPr>
          <w:szCs w:val="22"/>
        </w:rPr>
      </w:pPr>
      <w:r>
        <w:rPr>
          <w:szCs w:val="22"/>
        </w:rPr>
        <w:t xml:space="preserve">Communal land around such blocks and grouped homes e.g. communal gardens and any private road, footpath, external lighting, external store rooms, car park </w:t>
      </w:r>
      <w:proofErr w:type="spellStart"/>
      <w:r>
        <w:rPr>
          <w:szCs w:val="22"/>
        </w:rPr>
        <w:t>etc</w:t>
      </w:r>
      <w:proofErr w:type="spellEnd"/>
      <w:r>
        <w:rPr>
          <w:szCs w:val="22"/>
        </w:rPr>
        <w:t>;</w:t>
      </w:r>
    </w:p>
    <w:p w:rsidR="00F04051" w:rsidRDefault="00F04051" w:rsidP="00F04051">
      <w:pPr>
        <w:pStyle w:val="01BSCCParagraphbodystyle"/>
        <w:numPr>
          <w:ilvl w:val="1"/>
          <w:numId w:val="26"/>
        </w:numPr>
        <w:ind w:left="1134"/>
        <w:rPr>
          <w:szCs w:val="22"/>
        </w:rPr>
      </w:pPr>
      <w:r>
        <w:rPr>
          <w:szCs w:val="22"/>
        </w:rPr>
        <w:t xml:space="preserve">Communal internal areas of such blocks and schemes that are shared and used by the residents who live there e.g. corridors, staircases, lifts; fire safety systems and emergency lighting, heating and lighting of the communal areas etc.; and </w:t>
      </w:r>
    </w:p>
    <w:p w:rsidR="00F04051" w:rsidRDefault="00F04051" w:rsidP="00F04051">
      <w:pPr>
        <w:pStyle w:val="01BSCCParagraphbodystyle"/>
        <w:numPr>
          <w:ilvl w:val="1"/>
          <w:numId w:val="26"/>
        </w:numPr>
        <w:ind w:left="1134"/>
        <w:rPr>
          <w:szCs w:val="22"/>
        </w:rPr>
      </w:pPr>
      <w:r>
        <w:rPr>
          <w:szCs w:val="22"/>
        </w:rPr>
        <w:t>Structural and exterior parts of the such blocks or schemes which create the stable, secure, wind and weathertight building which contains peoples’ flats e.g. exterior walls, roof, foundations, bin stores, exterior communal doors and the structural framework which holds up the building etc.</w:t>
      </w:r>
    </w:p>
    <w:p w:rsidR="00F04051" w:rsidRPr="007E0917" w:rsidRDefault="00F04051" w:rsidP="00F04051">
      <w:pPr>
        <w:pStyle w:val="01BSCCParagraphbodystyle"/>
        <w:rPr>
          <w:szCs w:val="22"/>
        </w:rPr>
      </w:pPr>
      <w:r w:rsidRPr="003210A4">
        <w:rPr>
          <w:szCs w:val="22"/>
        </w:rPr>
        <w:t>Please note</w:t>
      </w:r>
      <w:r>
        <w:rPr>
          <w:szCs w:val="22"/>
        </w:rPr>
        <w:t xml:space="preserve"> examples given above are not an exhaustive list.</w:t>
      </w:r>
    </w:p>
    <w:p w:rsidR="00F04051" w:rsidRPr="003412B1" w:rsidRDefault="00F04051" w:rsidP="00F04051">
      <w:pPr>
        <w:pStyle w:val="01BSCCParagraphbodystyle"/>
        <w:rPr>
          <w:b/>
          <w:szCs w:val="22"/>
        </w:rPr>
      </w:pPr>
      <w:r>
        <w:rPr>
          <w:b/>
          <w:szCs w:val="22"/>
        </w:rPr>
        <w:t xml:space="preserve">Amenity </w:t>
      </w:r>
      <w:r w:rsidRPr="003412B1">
        <w:rPr>
          <w:b/>
          <w:szCs w:val="22"/>
        </w:rPr>
        <w:t>Areas</w:t>
      </w:r>
      <w:r>
        <w:rPr>
          <w:b/>
          <w:szCs w:val="22"/>
        </w:rPr>
        <w:t xml:space="preserve"> </w:t>
      </w:r>
    </w:p>
    <w:p w:rsidR="00F04051" w:rsidRDefault="00F04051" w:rsidP="00F04051">
      <w:pPr>
        <w:pStyle w:val="01BSCCParagraphbodystyle"/>
        <w:rPr>
          <w:szCs w:val="22"/>
        </w:rPr>
      </w:pPr>
      <w:r>
        <w:rPr>
          <w:szCs w:val="22"/>
        </w:rPr>
        <w:t xml:space="preserve">When this Council and its predecessors bought land on which to build council housing this was placed in the Housing Revenue Account. </w:t>
      </w:r>
    </w:p>
    <w:p w:rsidR="00F04051" w:rsidRPr="003210A4" w:rsidRDefault="00F04051" w:rsidP="00F04051">
      <w:pPr>
        <w:pStyle w:val="01BSCCParagraphbodystyle"/>
        <w:rPr>
          <w:szCs w:val="22"/>
        </w:rPr>
      </w:pPr>
      <w:r w:rsidRPr="003210A4">
        <w:rPr>
          <w:szCs w:val="22"/>
        </w:rPr>
        <w:t xml:space="preserve">Over the years many of the roads, footpaths, street lights and some grassed areas adjacent to them have been adopted by the Council under its highway powers and some communal grassed, soft landscaped and hard landscaped areas have been adopted by the Council under its leisure powers. </w:t>
      </w:r>
    </w:p>
    <w:p w:rsidR="00F04051" w:rsidRPr="003210A4" w:rsidRDefault="00F04051" w:rsidP="00F04051">
      <w:pPr>
        <w:pStyle w:val="01BSCCParagraphbodystyle"/>
        <w:rPr>
          <w:szCs w:val="22"/>
        </w:rPr>
      </w:pPr>
      <w:r w:rsidRPr="003210A4">
        <w:rPr>
          <w:szCs w:val="22"/>
        </w:rPr>
        <w:t xml:space="preserve">These </w:t>
      </w:r>
      <w:r>
        <w:rPr>
          <w:szCs w:val="22"/>
        </w:rPr>
        <w:t xml:space="preserve">adopted </w:t>
      </w:r>
      <w:r w:rsidRPr="003210A4">
        <w:rPr>
          <w:szCs w:val="22"/>
        </w:rPr>
        <w:t>areas are now maintained by the Council’s General Fund, with residents paying for these services out of their Council Tax, government grants funded by national taxation; and business rates.</w:t>
      </w:r>
    </w:p>
    <w:p w:rsidR="00F04051" w:rsidRPr="003210A4" w:rsidRDefault="00F04051" w:rsidP="00F04051">
      <w:pPr>
        <w:pStyle w:val="01BSCCParagraphbodystyle"/>
        <w:rPr>
          <w:szCs w:val="22"/>
        </w:rPr>
      </w:pPr>
      <w:r w:rsidRPr="003210A4">
        <w:rPr>
          <w:szCs w:val="22"/>
        </w:rPr>
        <w:lastRenderedPageBreak/>
        <w:t>This is in keeping with what happens on estates built by private housebuilders and reflects the fact that these areas are enjoyed by all residents of and visitors to</w:t>
      </w:r>
      <w:r>
        <w:rPr>
          <w:szCs w:val="22"/>
        </w:rPr>
        <w:t>,</w:t>
      </w:r>
      <w:r w:rsidRPr="003210A4">
        <w:rPr>
          <w:szCs w:val="22"/>
        </w:rPr>
        <w:t xml:space="preserve"> the estate, irrespective of their tenure. </w:t>
      </w:r>
    </w:p>
    <w:p w:rsidR="00F04051" w:rsidRPr="003210A4" w:rsidRDefault="00F04051" w:rsidP="00F04051">
      <w:pPr>
        <w:pStyle w:val="01BSCCParagraphbodystyle"/>
        <w:rPr>
          <w:szCs w:val="22"/>
        </w:rPr>
      </w:pPr>
      <w:r w:rsidRPr="003210A4">
        <w:rPr>
          <w:szCs w:val="22"/>
        </w:rPr>
        <w:t>However the majority of the land has not been treated in this way and there are still unadopted roads, footpaths, street lamps, grassed areas, soft landscaped areas and hard landscaped areas which have not been adopted which are still maintained by the HRA.</w:t>
      </w:r>
    </w:p>
    <w:p w:rsidR="00F04051" w:rsidRDefault="00F04051" w:rsidP="00F04051">
      <w:pPr>
        <w:pStyle w:val="01BSCCParagraphbodystyle"/>
        <w:rPr>
          <w:szCs w:val="22"/>
        </w:rPr>
      </w:pPr>
      <w:r w:rsidRPr="003210A4">
        <w:rPr>
          <w:szCs w:val="22"/>
        </w:rPr>
        <w:t>This council also inherited a situation from its predecessors where the level of charge and the residents charged for these services, has differed from district to district.</w:t>
      </w:r>
    </w:p>
    <w:p w:rsidR="00F04051" w:rsidRPr="003210A4" w:rsidRDefault="00F04051" w:rsidP="00F04051">
      <w:pPr>
        <w:pStyle w:val="01BSCCParagraphbodystyle"/>
        <w:rPr>
          <w:szCs w:val="22"/>
        </w:rPr>
      </w:pPr>
      <w:r>
        <w:rPr>
          <w:szCs w:val="22"/>
        </w:rPr>
        <w:t xml:space="preserve">Some RTB freeholders and their successors in title and leaseholders </w:t>
      </w:r>
      <w:r w:rsidR="004B44B9">
        <w:rPr>
          <w:szCs w:val="22"/>
        </w:rPr>
        <w:t xml:space="preserve">are obliged by the terms of their respective </w:t>
      </w:r>
      <w:r>
        <w:rPr>
          <w:szCs w:val="22"/>
        </w:rPr>
        <w:t>conveyances</w:t>
      </w:r>
      <w:r w:rsidR="004B44B9">
        <w:rPr>
          <w:szCs w:val="22"/>
        </w:rPr>
        <w:t xml:space="preserve"> or </w:t>
      </w:r>
      <w:r>
        <w:rPr>
          <w:szCs w:val="22"/>
        </w:rPr>
        <w:t xml:space="preserve">lease to </w:t>
      </w:r>
      <w:r w:rsidR="004B44B9">
        <w:rPr>
          <w:szCs w:val="22"/>
        </w:rPr>
        <w:t>pay</w:t>
      </w:r>
      <w:r>
        <w:rPr>
          <w:szCs w:val="22"/>
        </w:rPr>
        <w:t xml:space="preserve"> a service charge contribution towards the maintenance of these HRA areas. However older conveyances and leases do not always have this condition.</w:t>
      </w:r>
    </w:p>
    <w:p w:rsidR="00F04051" w:rsidRPr="00D41AE3" w:rsidRDefault="00F04051" w:rsidP="00F04051">
      <w:pPr>
        <w:pStyle w:val="01BSCCParagraphbodystyle"/>
        <w:rPr>
          <w:b/>
          <w:szCs w:val="22"/>
        </w:rPr>
      </w:pPr>
      <w:r w:rsidRPr="00D41AE3">
        <w:rPr>
          <w:b/>
          <w:szCs w:val="22"/>
        </w:rPr>
        <w:t>Communal areas in and around HRA owned blocks of flats and grouped homes.</w:t>
      </w:r>
    </w:p>
    <w:p w:rsidR="00F04051" w:rsidRDefault="00F04051" w:rsidP="00F04051">
      <w:pPr>
        <w:pStyle w:val="01BSCCParagraphbodystyle"/>
        <w:rPr>
          <w:szCs w:val="22"/>
        </w:rPr>
      </w:pPr>
      <w:r>
        <w:rPr>
          <w:szCs w:val="22"/>
        </w:rPr>
        <w:t>These areas are usually only enjoyed by the tenants, licensees and leaseholders living in the blocks of flats and grouped homes and in the same way as residents of privately owned flats pay for the upkeep of the privately owned communal areas in and around their flats, this policy will ensure that Council tenants and leaseholders will contribute equally towards the costs of these common areas, from which they all benefit.</w:t>
      </w:r>
    </w:p>
    <w:p w:rsidR="00F04051" w:rsidRDefault="00F04051" w:rsidP="00F04051">
      <w:pPr>
        <w:pStyle w:val="01BSCCParagraphbodystyle"/>
        <w:rPr>
          <w:szCs w:val="22"/>
        </w:rPr>
      </w:pPr>
      <w:r>
        <w:rPr>
          <w:szCs w:val="22"/>
        </w:rPr>
        <w:t xml:space="preserve">However this Council also inherited from its predecessor council’s a range of different charges which is some cases does not cover all of the costs incurred on providing, maintaining and renewing all of these common areas. </w:t>
      </w:r>
    </w:p>
    <w:p w:rsidR="00F04051" w:rsidRDefault="00F04051" w:rsidP="00F04051">
      <w:pPr>
        <w:pStyle w:val="01BSCCParagraphbodystyle"/>
        <w:rPr>
          <w:szCs w:val="22"/>
        </w:rPr>
      </w:pPr>
      <w:r w:rsidRPr="003210A4">
        <w:rPr>
          <w:szCs w:val="22"/>
        </w:rPr>
        <w:t>This has meant that some of the rents received from all tenants which are normally used to pay for repairs and improvements to their homes, has also been used to pay for common areas where existing service charges (or a lack of a service charge) payable by licensees, tenants and leaseholders has been insufficient to cover the common area costs.</w:t>
      </w:r>
      <w:r>
        <w:rPr>
          <w:szCs w:val="22"/>
        </w:rPr>
        <w:t xml:space="preserve">  </w:t>
      </w:r>
    </w:p>
    <w:p w:rsidR="00F04051" w:rsidRDefault="00F04051" w:rsidP="00F04051">
      <w:pPr>
        <w:pStyle w:val="01BSCCParagraphbodystyle"/>
        <w:rPr>
          <w:szCs w:val="22"/>
        </w:rPr>
      </w:pPr>
      <w:r>
        <w:rPr>
          <w:szCs w:val="22"/>
        </w:rPr>
        <w:t>In addition when major repairs are carried out to these common areas such as renewing an entire roof, this can lead to leaseholders having to pay large one off bills, which lower income leaseholders may struggle to pay. Tenants pay their contribution towards these major repair bills from their rents.</w:t>
      </w:r>
    </w:p>
    <w:p w:rsidR="00F04051" w:rsidRDefault="00F04051" w:rsidP="00F04051">
      <w:pPr>
        <w:pStyle w:val="01BSCCParagraphbodystyle"/>
        <w:rPr>
          <w:szCs w:val="22"/>
        </w:rPr>
      </w:pPr>
      <w:r>
        <w:rPr>
          <w:szCs w:val="22"/>
        </w:rPr>
        <w:t>For leaseholders who cannot pay, due to their financial circumstances, their element of the cost can be added as a legal charge to the lease, meaning that when they sell their leasehold they will be expected to pay towards these repair costs.  This may mean that it is many years before the leaseholder is able to repay this money. Alternatively leaseholders can pay this off by instalments.</w:t>
      </w:r>
    </w:p>
    <w:p w:rsidR="005C2A4E" w:rsidRPr="005C2A4E" w:rsidRDefault="005C2A4E" w:rsidP="005C2A4E">
      <w:pPr>
        <w:pStyle w:val="01BSCCParagraphbodystyle"/>
        <w:rPr>
          <w:b/>
          <w:color w:val="EE6821"/>
          <w:sz w:val="24"/>
          <w:szCs w:val="24"/>
        </w:rPr>
      </w:pPr>
      <w:r w:rsidRPr="005C2A4E">
        <w:rPr>
          <w:b/>
          <w:color w:val="EE6821"/>
          <w:sz w:val="24"/>
          <w:szCs w:val="24"/>
        </w:rPr>
        <w:t>3. Objectives (what this policy aims to achieve)</w:t>
      </w:r>
    </w:p>
    <w:p w:rsidR="00E50232" w:rsidRPr="003678C0" w:rsidRDefault="00E50232" w:rsidP="00E50232">
      <w:pPr>
        <w:pStyle w:val="BasicParagraph"/>
        <w:tabs>
          <w:tab w:val="left" w:pos="260"/>
          <w:tab w:val="left" w:pos="860"/>
        </w:tabs>
        <w:suppressAutoHyphens/>
        <w:spacing w:line="240" w:lineRule="auto"/>
        <w:rPr>
          <w:rFonts w:ascii="Verdana" w:hAnsi="Verdana" w:cs="Times New Roman"/>
          <w:color w:val="auto"/>
          <w:szCs w:val="22"/>
        </w:rPr>
      </w:pPr>
      <w:r w:rsidRPr="003678C0">
        <w:rPr>
          <w:rFonts w:ascii="Verdana" w:hAnsi="Verdana" w:cs="Times New Roman"/>
          <w:color w:val="auto"/>
          <w:szCs w:val="22"/>
        </w:rPr>
        <w:lastRenderedPageBreak/>
        <w:t xml:space="preserve">The overall objective of this policy is to ensure that the Council fully complies with the relevant legal requirements </w:t>
      </w:r>
      <w:r>
        <w:rPr>
          <w:rFonts w:ascii="Verdana" w:hAnsi="Verdana" w:cs="Times New Roman"/>
          <w:color w:val="auto"/>
          <w:szCs w:val="22"/>
        </w:rPr>
        <w:t xml:space="preserve">for HRA service charges </w:t>
      </w:r>
      <w:r w:rsidRPr="003678C0">
        <w:rPr>
          <w:rFonts w:ascii="Verdana" w:hAnsi="Verdana" w:cs="Times New Roman"/>
          <w:color w:val="auto"/>
          <w:szCs w:val="22"/>
        </w:rPr>
        <w:t xml:space="preserve">and adopts best practice guidance </w:t>
      </w:r>
      <w:r>
        <w:rPr>
          <w:rFonts w:ascii="Verdana" w:hAnsi="Verdana" w:cs="Times New Roman"/>
          <w:color w:val="auto"/>
          <w:szCs w:val="22"/>
        </w:rPr>
        <w:t xml:space="preserve">covering </w:t>
      </w:r>
      <w:r w:rsidRPr="003678C0">
        <w:rPr>
          <w:rFonts w:ascii="Verdana" w:hAnsi="Verdana" w:cs="Times New Roman"/>
          <w:color w:val="auto"/>
          <w:szCs w:val="22"/>
        </w:rPr>
        <w:t>the settin</w:t>
      </w:r>
      <w:r>
        <w:rPr>
          <w:rFonts w:ascii="Verdana" w:hAnsi="Verdana" w:cs="Times New Roman"/>
          <w:color w:val="auto"/>
          <w:szCs w:val="22"/>
        </w:rPr>
        <w:t xml:space="preserve">g, collection, consultation, </w:t>
      </w:r>
      <w:r w:rsidRPr="003678C0">
        <w:rPr>
          <w:rFonts w:ascii="Verdana" w:hAnsi="Verdana" w:cs="Times New Roman"/>
          <w:color w:val="auto"/>
          <w:szCs w:val="22"/>
        </w:rPr>
        <w:t xml:space="preserve">management </w:t>
      </w:r>
      <w:r>
        <w:rPr>
          <w:rFonts w:ascii="Verdana" w:hAnsi="Verdana" w:cs="Times New Roman"/>
          <w:color w:val="auto"/>
          <w:szCs w:val="22"/>
        </w:rPr>
        <w:t>and provision of information relating to</w:t>
      </w:r>
      <w:r w:rsidRPr="003678C0">
        <w:rPr>
          <w:rFonts w:ascii="Verdana" w:hAnsi="Verdana" w:cs="Times New Roman"/>
          <w:color w:val="auto"/>
          <w:szCs w:val="22"/>
        </w:rPr>
        <w:t xml:space="preserve"> </w:t>
      </w:r>
      <w:r>
        <w:rPr>
          <w:rFonts w:ascii="Verdana" w:hAnsi="Verdana" w:cs="Times New Roman"/>
          <w:color w:val="auto"/>
          <w:szCs w:val="22"/>
        </w:rPr>
        <w:t xml:space="preserve">HRA </w:t>
      </w:r>
      <w:r w:rsidRPr="003678C0">
        <w:rPr>
          <w:rFonts w:ascii="Verdana" w:hAnsi="Verdana" w:cs="Times New Roman"/>
          <w:color w:val="auto"/>
          <w:szCs w:val="22"/>
        </w:rPr>
        <w:t>service charges.</w:t>
      </w:r>
    </w:p>
    <w:p w:rsidR="00E50232" w:rsidRPr="003678C0" w:rsidRDefault="00E50232" w:rsidP="00E50232">
      <w:pPr>
        <w:pStyle w:val="BasicParagraph"/>
        <w:tabs>
          <w:tab w:val="left" w:pos="260"/>
          <w:tab w:val="left" w:pos="860"/>
        </w:tabs>
        <w:suppressAutoHyphens/>
        <w:spacing w:line="240" w:lineRule="auto"/>
        <w:rPr>
          <w:rFonts w:ascii="Verdana" w:hAnsi="Verdana" w:cs="Times New Roman"/>
          <w:color w:val="auto"/>
          <w:szCs w:val="22"/>
        </w:rPr>
      </w:pPr>
    </w:p>
    <w:p w:rsidR="00E50232" w:rsidRPr="003678C0" w:rsidRDefault="00E50232" w:rsidP="00E50232">
      <w:pPr>
        <w:pStyle w:val="BasicParagraph"/>
        <w:tabs>
          <w:tab w:val="left" w:pos="260"/>
          <w:tab w:val="left" w:pos="860"/>
        </w:tabs>
        <w:suppressAutoHyphens/>
        <w:spacing w:line="240" w:lineRule="auto"/>
        <w:rPr>
          <w:rFonts w:ascii="Verdana" w:hAnsi="Verdana" w:cs="Times New Roman"/>
          <w:color w:val="auto"/>
          <w:szCs w:val="22"/>
        </w:rPr>
      </w:pPr>
      <w:r>
        <w:rPr>
          <w:rFonts w:ascii="Verdana" w:hAnsi="Verdana" w:cs="Times New Roman"/>
          <w:color w:val="auto"/>
          <w:szCs w:val="22"/>
        </w:rPr>
        <w:t>Additional</w:t>
      </w:r>
      <w:r w:rsidRPr="003678C0">
        <w:rPr>
          <w:rFonts w:ascii="Verdana" w:hAnsi="Verdana" w:cs="Times New Roman"/>
          <w:color w:val="auto"/>
          <w:szCs w:val="22"/>
        </w:rPr>
        <w:t xml:space="preserve"> detailed objectives </w:t>
      </w:r>
      <w:r>
        <w:rPr>
          <w:rFonts w:ascii="Verdana" w:hAnsi="Verdana" w:cs="Times New Roman"/>
          <w:color w:val="auto"/>
          <w:szCs w:val="22"/>
        </w:rPr>
        <w:t>include but are not restricted to</w:t>
      </w:r>
      <w:r w:rsidRPr="003678C0">
        <w:rPr>
          <w:rFonts w:ascii="Verdana" w:hAnsi="Verdana" w:cs="Times New Roman"/>
          <w:color w:val="auto"/>
          <w:szCs w:val="22"/>
        </w:rPr>
        <w:t>:</w:t>
      </w:r>
    </w:p>
    <w:p w:rsidR="00E50232" w:rsidRPr="003678C0" w:rsidRDefault="00E50232" w:rsidP="00E50232">
      <w:pPr>
        <w:pStyle w:val="BasicParagraph"/>
        <w:tabs>
          <w:tab w:val="left" w:pos="260"/>
          <w:tab w:val="left" w:pos="860"/>
        </w:tabs>
        <w:suppressAutoHyphens/>
        <w:spacing w:line="240" w:lineRule="auto"/>
        <w:rPr>
          <w:rFonts w:ascii="Verdana" w:hAnsi="Verdana" w:cs="Times New Roman"/>
          <w:color w:val="auto"/>
          <w:szCs w:val="22"/>
        </w:rPr>
      </w:pPr>
    </w:p>
    <w:p w:rsidR="00E50232" w:rsidRPr="003678C0" w:rsidRDefault="00E50232" w:rsidP="00E50232">
      <w:pPr>
        <w:pStyle w:val="BasicParagraph"/>
        <w:numPr>
          <w:ilvl w:val="0"/>
          <w:numId w:val="14"/>
        </w:numPr>
        <w:tabs>
          <w:tab w:val="left" w:pos="260"/>
          <w:tab w:val="left" w:pos="709"/>
        </w:tabs>
        <w:suppressAutoHyphens/>
        <w:spacing w:line="240" w:lineRule="auto"/>
        <w:ind w:left="709" w:hanging="349"/>
        <w:rPr>
          <w:rFonts w:ascii="Verdana" w:hAnsi="Verdana" w:cs="Times New Roman"/>
          <w:color w:val="auto"/>
          <w:szCs w:val="22"/>
        </w:rPr>
      </w:pPr>
      <w:r>
        <w:rPr>
          <w:rFonts w:ascii="Verdana" w:hAnsi="Verdana" w:cs="Times New Roman"/>
          <w:color w:val="auto"/>
          <w:szCs w:val="22"/>
        </w:rPr>
        <w:t>Maximising</w:t>
      </w:r>
      <w:r w:rsidRPr="003678C0">
        <w:rPr>
          <w:rFonts w:ascii="Verdana" w:hAnsi="Verdana" w:cs="Times New Roman"/>
          <w:color w:val="auto"/>
          <w:szCs w:val="22"/>
        </w:rPr>
        <w:t xml:space="preserve"> the collection of service charges</w:t>
      </w:r>
      <w:r>
        <w:rPr>
          <w:rFonts w:ascii="Verdana" w:hAnsi="Verdana" w:cs="Times New Roman"/>
          <w:color w:val="auto"/>
          <w:szCs w:val="22"/>
        </w:rPr>
        <w:t xml:space="preserve"> by making sure everyone who should be charged, is charged; and making it as easy as possible for these charges to be paid and budgeted for.</w:t>
      </w:r>
    </w:p>
    <w:p w:rsidR="00E50232" w:rsidRDefault="00E50232" w:rsidP="00E50232">
      <w:pPr>
        <w:pStyle w:val="BasicParagraph"/>
        <w:numPr>
          <w:ilvl w:val="0"/>
          <w:numId w:val="14"/>
        </w:numPr>
        <w:tabs>
          <w:tab w:val="left" w:pos="260"/>
          <w:tab w:val="left" w:pos="709"/>
        </w:tabs>
        <w:suppressAutoHyphens/>
        <w:spacing w:line="240" w:lineRule="auto"/>
        <w:rPr>
          <w:rFonts w:ascii="Verdana" w:hAnsi="Verdana" w:cs="Times New Roman"/>
          <w:color w:val="auto"/>
          <w:szCs w:val="22"/>
        </w:rPr>
      </w:pPr>
      <w:r>
        <w:rPr>
          <w:rFonts w:ascii="Verdana" w:hAnsi="Verdana" w:cs="Times New Roman"/>
          <w:color w:val="auto"/>
          <w:szCs w:val="22"/>
        </w:rPr>
        <w:t>Ensuring</w:t>
      </w:r>
      <w:r w:rsidRPr="003678C0">
        <w:rPr>
          <w:rFonts w:ascii="Verdana" w:hAnsi="Verdana" w:cs="Times New Roman"/>
          <w:color w:val="auto"/>
          <w:szCs w:val="22"/>
        </w:rPr>
        <w:t xml:space="preserve"> service charges</w:t>
      </w:r>
      <w:r>
        <w:rPr>
          <w:rFonts w:ascii="Verdana" w:hAnsi="Verdana" w:cs="Times New Roman"/>
          <w:color w:val="auto"/>
          <w:szCs w:val="22"/>
        </w:rPr>
        <w:t xml:space="preserve"> accurately and transparently </w:t>
      </w:r>
      <w:r w:rsidRPr="003678C0">
        <w:rPr>
          <w:rFonts w:ascii="Verdana" w:hAnsi="Verdana" w:cs="Times New Roman"/>
          <w:color w:val="auto"/>
          <w:szCs w:val="22"/>
        </w:rPr>
        <w:t>reflect actual costs</w:t>
      </w:r>
      <w:r>
        <w:rPr>
          <w:rFonts w:ascii="Verdana" w:hAnsi="Verdana" w:cs="Times New Roman"/>
          <w:color w:val="auto"/>
          <w:szCs w:val="22"/>
        </w:rPr>
        <w:t xml:space="preserve"> of previous expenditure (based on previous year’s actual costs) </w:t>
      </w:r>
      <w:r w:rsidRPr="003210A4">
        <w:rPr>
          <w:rFonts w:ascii="Verdana" w:hAnsi="Verdana" w:cs="Times New Roman"/>
          <w:color w:val="auto"/>
          <w:szCs w:val="22"/>
        </w:rPr>
        <w:t>and reasonable estimates of future expenditure (based on current costs adjusted for changes in inflation and repair costs;  the likely life of the building components); and the</w:t>
      </w:r>
      <w:r>
        <w:rPr>
          <w:rFonts w:ascii="Verdana" w:hAnsi="Verdana" w:cs="Times New Roman"/>
          <w:color w:val="auto"/>
          <w:szCs w:val="22"/>
        </w:rPr>
        <w:t xml:space="preserve"> costs of administering these charges.</w:t>
      </w:r>
    </w:p>
    <w:p w:rsidR="00E50232" w:rsidRPr="003678C0" w:rsidRDefault="00E50232" w:rsidP="00E50232">
      <w:pPr>
        <w:pStyle w:val="BasicParagraph"/>
        <w:numPr>
          <w:ilvl w:val="0"/>
          <w:numId w:val="14"/>
        </w:numPr>
        <w:tabs>
          <w:tab w:val="left" w:pos="260"/>
          <w:tab w:val="left" w:pos="709"/>
        </w:tabs>
        <w:suppressAutoHyphens/>
        <w:spacing w:line="240" w:lineRule="auto"/>
        <w:rPr>
          <w:rFonts w:ascii="Verdana" w:hAnsi="Verdana" w:cs="Times New Roman"/>
          <w:color w:val="auto"/>
          <w:szCs w:val="22"/>
        </w:rPr>
      </w:pPr>
      <w:r>
        <w:rPr>
          <w:rFonts w:ascii="Verdana" w:hAnsi="Verdana" w:cs="Times New Roman"/>
          <w:color w:val="auto"/>
          <w:szCs w:val="22"/>
        </w:rPr>
        <w:t>Ensuring services charges are fairly apportioned between tenants, leaseholders, licensees and Right to Buy freeholders and their successors in title, based on the number of properties benefitting from services and works to the common areas.</w:t>
      </w:r>
    </w:p>
    <w:p w:rsidR="00E50232" w:rsidRPr="003678C0" w:rsidRDefault="00E50232" w:rsidP="00E50232">
      <w:pPr>
        <w:pStyle w:val="BasicParagraph"/>
        <w:numPr>
          <w:ilvl w:val="0"/>
          <w:numId w:val="14"/>
        </w:numPr>
        <w:tabs>
          <w:tab w:val="left" w:pos="260"/>
          <w:tab w:val="left" w:pos="709"/>
        </w:tabs>
        <w:suppressAutoHyphens/>
        <w:spacing w:line="240" w:lineRule="auto"/>
        <w:rPr>
          <w:rFonts w:ascii="Verdana" w:hAnsi="Verdana" w:cs="Times New Roman"/>
          <w:color w:val="auto"/>
          <w:szCs w:val="22"/>
        </w:rPr>
      </w:pPr>
      <w:r>
        <w:rPr>
          <w:rFonts w:ascii="Verdana" w:hAnsi="Verdana" w:cs="Times New Roman"/>
          <w:color w:val="auto"/>
          <w:szCs w:val="22"/>
        </w:rPr>
        <w:t>Ensuring</w:t>
      </w:r>
      <w:r w:rsidRPr="003678C0">
        <w:rPr>
          <w:rFonts w:ascii="Verdana" w:hAnsi="Verdana" w:cs="Times New Roman"/>
          <w:color w:val="auto"/>
          <w:szCs w:val="22"/>
        </w:rPr>
        <w:t xml:space="preserve"> staff and </w:t>
      </w:r>
      <w:r>
        <w:rPr>
          <w:rFonts w:ascii="Verdana" w:hAnsi="Verdana" w:cs="Times New Roman"/>
          <w:color w:val="auto"/>
          <w:szCs w:val="22"/>
        </w:rPr>
        <w:t>recipients of the services</w:t>
      </w:r>
      <w:r w:rsidRPr="003678C0">
        <w:rPr>
          <w:rFonts w:ascii="Verdana" w:hAnsi="Verdana" w:cs="Times New Roman"/>
          <w:color w:val="auto"/>
          <w:szCs w:val="22"/>
        </w:rPr>
        <w:t xml:space="preserve"> </w:t>
      </w:r>
      <w:r>
        <w:rPr>
          <w:rFonts w:ascii="Verdana" w:hAnsi="Verdana" w:cs="Times New Roman"/>
          <w:color w:val="auto"/>
          <w:szCs w:val="22"/>
        </w:rPr>
        <w:t>can clearly see</w:t>
      </w:r>
      <w:r w:rsidRPr="003678C0">
        <w:rPr>
          <w:rFonts w:ascii="Verdana" w:hAnsi="Verdana" w:cs="Times New Roman"/>
          <w:color w:val="auto"/>
          <w:szCs w:val="22"/>
        </w:rPr>
        <w:t xml:space="preserve"> how service charges are calculated.</w:t>
      </w:r>
    </w:p>
    <w:p w:rsidR="00E50232" w:rsidRDefault="00E50232" w:rsidP="00E50232">
      <w:pPr>
        <w:pStyle w:val="BasicParagraph"/>
        <w:numPr>
          <w:ilvl w:val="0"/>
          <w:numId w:val="14"/>
        </w:numPr>
        <w:tabs>
          <w:tab w:val="left" w:pos="260"/>
          <w:tab w:val="left" w:pos="709"/>
        </w:tabs>
        <w:suppressAutoHyphens/>
        <w:spacing w:line="240" w:lineRule="auto"/>
        <w:ind w:left="709" w:hanging="349"/>
        <w:rPr>
          <w:rFonts w:ascii="Verdana" w:hAnsi="Verdana" w:cs="Times New Roman"/>
          <w:color w:val="auto"/>
          <w:szCs w:val="22"/>
        </w:rPr>
      </w:pPr>
      <w:r>
        <w:rPr>
          <w:rFonts w:ascii="Verdana" w:hAnsi="Verdana" w:cs="Times New Roman"/>
          <w:color w:val="auto"/>
          <w:szCs w:val="22"/>
        </w:rPr>
        <w:t>Providing</w:t>
      </w:r>
      <w:r w:rsidRPr="003678C0">
        <w:rPr>
          <w:rFonts w:ascii="Verdana" w:hAnsi="Verdana" w:cs="Times New Roman"/>
          <w:color w:val="auto"/>
          <w:szCs w:val="22"/>
        </w:rPr>
        <w:t xml:space="preserve"> clear and transparent information for residents on </w:t>
      </w:r>
      <w:r>
        <w:rPr>
          <w:rFonts w:ascii="Verdana" w:hAnsi="Verdana" w:cs="Times New Roman"/>
          <w:color w:val="auto"/>
          <w:szCs w:val="22"/>
        </w:rPr>
        <w:t xml:space="preserve">annual </w:t>
      </w:r>
      <w:r w:rsidRPr="003678C0">
        <w:rPr>
          <w:rFonts w:ascii="Verdana" w:hAnsi="Verdana" w:cs="Times New Roman"/>
          <w:color w:val="auto"/>
          <w:szCs w:val="22"/>
        </w:rPr>
        <w:t>service charge income and expenditure</w:t>
      </w:r>
      <w:r>
        <w:rPr>
          <w:rFonts w:ascii="Verdana" w:hAnsi="Verdana" w:cs="Times New Roman"/>
          <w:color w:val="auto"/>
          <w:szCs w:val="22"/>
        </w:rPr>
        <w:t xml:space="preserve">. </w:t>
      </w:r>
    </w:p>
    <w:p w:rsidR="00D94113" w:rsidRPr="00D367CB" w:rsidRDefault="00E50232" w:rsidP="00D94113">
      <w:pPr>
        <w:pStyle w:val="BasicParagraph"/>
        <w:numPr>
          <w:ilvl w:val="0"/>
          <w:numId w:val="14"/>
        </w:numPr>
        <w:tabs>
          <w:tab w:val="left" w:pos="260"/>
        </w:tabs>
        <w:suppressAutoHyphens/>
        <w:spacing w:line="240" w:lineRule="auto"/>
        <w:rPr>
          <w:rFonts w:ascii="Verdana" w:eastAsia="Times New Roman" w:hAnsi="Verdana" w:cs="Times New Roman"/>
          <w:color w:val="auto"/>
          <w:szCs w:val="22"/>
        </w:rPr>
      </w:pPr>
      <w:r w:rsidRPr="00D367CB">
        <w:rPr>
          <w:rFonts w:ascii="Verdana" w:hAnsi="Verdana" w:cs="Times New Roman"/>
          <w:color w:val="auto"/>
          <w:szCs w:val="22"/>
        </w:rPr>
        <w:t>Ensuring consultation takes place with service charge payers on any new services to be provided and variations to any services already being provided</w:t>
      </w:r>
      <w:r w:rsidR="00D367CB">
        <w:rPr>
          <w:rFonts w:ascii="Verdana" w:hAnsi="Verdana" w:cs="Times New Roman"/>
          <w:color w:val="auto"/>
          <w:szCs w:val="22"/>
        </w:rPr>
        <w:t>.</w:t>
      </w:r>
    </w:p>
    <w:p w:rsidR="00D367CB" w:rsidRPr="00D367CB" w:rsidRDefault="00D367CB" w:rsidP="00D367CB">
      <w:pPr>
        <w:pStyle w:val="BasicParagraph"/>
        <w:tabs>
          <w:tab w:val="left" w:pos="260"/>
        </w:tabs>
        <w:suppressAutoHyphens/>
        <w:spacing w:line="240" w:lineRule="auto"/>
        <w:ind w:left="720"/>
        <w:rPr>
          <w:rFonts w:ascii="Verdana" w:eastAsia="Times New Roman" w:hAnsi="Verdana" w:cs="Times New Roman"/>
          <w:color w:val="auto"/>
          <w:szCs w:val="22"/>
        </w:rPr>
      </w:pPr>
    </w:p>
    <w:p w:rsidR="005C2A4E" w:rsidRDefault="005C2A4E" w:rsidP="005C2A4E">
      <w:pPr>
        <w:pStyle w:val="01BSCCParagraphbodystyle"/>
        <w:rPr>
          <w:b/>
          <w:color w:val="EE6821"/>
          <w:sz w:val="24"/>
          <w:szCs w:val="24"/>
        </w:rPr>
      </w:pPr>
      <w:r w:rsidRPr="005C2A4E">
        <w:rPr>
          <w:b/>
          <w:color w:val="EE6821"/>
          <w:sz w:val="24"/>
          <w:szCs w:val="24"/>
        </w:rPr>
        <w:t>4. Scope (what the policy covers)</w:t>
      </w:r>
    </w:p>
    <w:p w:rsidR="00E50232" w:rsidRDefault="00E50232" w:rsidP="00E50232">
      <w:pPr>
        <w:pStyle w:val="01BSCCParagraphbodystyle"/>
        <w:rPr>
          <w:szCs w:val="22"/>
        </w:rPr>
      </w:pPr>
      <w:r>
        <w:rPr>
          <w:szCs w:val="22"/>
        </w:rPr>
        <w:t>This policy covers:</w:t>
      </w:r>
    </w:p>
    <w:p w:rsidR="00E50232" w:rsidRDefault="00E50232" w:rsidP="00E50232">
      <w:pPr>
        <w:pStyle w:val="01BSCCParagraphbodystyle"/>
        <w:numPr>
          <w:ilvl w:val="0"/>
          <w:numId w:val="29"/>
        </w:numPr>
        <w:rPr>
          <w:szCs w:val="22"/>
        </w:rPr>
      </w:pPr>
      <w:r>
        <w:rPr>
          <w:szCs w:val="22"/>
        </w:rPr>
        <w:t>An explanation of which part of the Council’s finances provides the services referred to in this policy.</w:t>
      </w:r>
    </w:p>
    <w:p w:rsidR="00E50232" w:rsidRDefault="00E50232" w:rsidP="00E50232">
      <w:pPr>
        <w:pStyle w:val="01BSCCParagraphbodystyle"/>
        <w:numPr>
          <w:ilvl w:val="0"/>
          <w:numId w:val="29"/>
        </w:numPr>
        <w:rPr>
          <w:szCs w:val="22"/>
        </w:rPr>
      </w:pPr>
      <w:r>
        <w:rPr>
          <w:szCs w:val="22"/>
        </w:rPr>
        <w:t>An explanation of the kinds of services for which the Council can charge service charges.</w:t>
      </w:r>
    </w:p>
    <w:p w:rsidR="00E50232" w:rsidRDefault="00E50232" w:rsidP="00E50232">
      <w:pPr>
        <w:pStyle w:val="01BSCCParagraphbodystyle"/>
        <w:numPr>
          <w:ilvl w:val="0"/>
          <w:numId w:val="29"/>
        </w:numPr>
        <w:rPr>
          <w:szCs w:val="22"/>
        </w:rPr>
      </w:pPr>
      <w:r>
        <w:rPr>
          <w:szCs w:val="22"/>
        </w:rPr>
        <w:t>How such service charges will be set.</w:t>
      </w:r>
    </w:p>
    <w:p w:rsidR="00E50232" w:rsidRDefault="00E50232" w:rsidP="00E50232">
      <w:pPr>
        <w:pStyle w:val="01BSCCParagraphbodystyle"/>
        <w:numPr>
          <w:ilvl w:val="0"/>
          <w:numId w:val="29"/>
        </w:numPr>
        <w:rPr>
          <w:szCs w:val="22"/>
        </w:rPr>
      </w:pPr>
      <w:r>
        <w:rPr>
          <w:szCs w:val="22"/>
        </w:rPr>
        <w:t>Sinking Funds and how they can help service charge payers to budget for large future costs.</w:t>
      </w:r>
    </w:p>
    <w:p w:rsidR="00E50232" w:rsidRDefault="00E50232" w:rsidP="00E50232">
      <w:pPr>
        <w:pStyle w:val="01BSCCParagraphbodystyle"/>
        <w:numPr>
          <w:ilvl w:val="0"/>
          <w:numId w:val="29"/>
        </w:numPr>
        <w:rPr>
          <w:szCs w:val="22"/>
        </w:rPr>
      </w:pPr>
      <w:r>
        <w:rPr>
          <w:szCs w:val="22"/>
        </w:rPr>
        <w:t>How service charge payments can be made.</w:t>
      </w:r>
    </w:p>
    <w:p w:rsidR="00E50232" w:rsidRDefault="00E50232" w:rsidP="00E50232">
      <w:pPr>
        <w:pStyle w:val="01BSCCParagraphbodystyle"/>
        <w:numPr>
          <w:ilvl w:val="0"/>
          <w:numId w:val="29"/>
        </w:numPr>
        <w:rPr>
          <w:szCs w:val="22"/>
        </w:rPr>
      </w:pPr>
      <w:r>
        <w:rPr>
          <w:szCs w:val="22"/>
        </w:rPr>
        <w:t>How different groups of residents are affected by service charges.</w:t>
      </w:r>
    </w:p>
    <w:p w:rsidR="00E50232" w:rsidRDefault="00E50232" w:rsidP="00E50232">
      <w:pPr>
        <w:pStyle w:val="01BSCCParagraphbodystyle"/>
        <w:numPr>
          <w:ilvl w:val="0"/>
          <w:numId w:val="29"/>
        </w:numPr>
        <w:rPr>
          <w:szCs w:val="22"/>
        </w:rPr>
      </w:pPr>
      <w:r>
        <w:rPr>
          <w:szCs w:val="22"/>
        </w:rPr>
        <w:t>How will residents be consulted on and informed about service charges.</w:t>
      </w:r>
    </w:p>
    <w:p w:rsidR="00E50232" w:rsidRDefault="00E50232" w:rsidP="00E50232">
      <w:pPr>
        <w:pStyle w:val="01BSCCParagraphbodystyle"/>
        <w:rPr>
          <w:szCs w:val="22"/>
        </w:rPr>
      </w:pPr>
      <w:r>
        <w:rPr>
          <w:szCs w:val="22"/>
        </w:rPr>
        <w:t>It affects the following residents:</w:t>
      </w:r>
    </w:p>
    <w:p w:rsidR="00E50232" w:rsidRPr="008F7411" w:rsidRDefault="00E50232" w:rsidP="00E50232">
      <w:pPr>
        <w:pStyle w:val="01BSCCParagraphbodystyle"/>
        <w:numPr>
          <w:ilvl w:val="0"/>
          <w:numId w:val="29"/>
        </w:numPr>
        <w:rPr>
          <w:szCs w:val="22"/>
        </w:rPr>
      </w:pPr>
      <w:r>
        <w:rPr>
          <w:szCs w:val="22"/>
        </w:rPr>
        <w:lastRenderedPageBreak/>
        <w:t xml:space="preserve">All residents </w:t>
      </w:r>
      <w:r w:rsidRPr="008F7411">
        <w:rPr>
          <w:szCs w:val="22"/>
        </w:rPr>
        <w:t>of homes owned</w:t>
      </w:r>
      <w:r w:rsidR="00D60ABE">
        <w:rPr>
          <w:szCs w:val="22"/>
        </w:rPr>
        <w:t xml:space="preserve">, </w:t>
      </w:r>
      <w:r w:rsidRPr="008F7411">
        <w:rPr>
          <w:szCs w:val="22"/>
        </w:rPr>
        <w:t xml:space="preserve">by </w:t>
      </w:r>
      <w:r w:rsidR="00D60ABE">
        <w:rPr>
          <w:szCs w:val="22"/>
        </w:rPr>
        <w:t xml:space="preserve">and leased or rented from </w:t>
      </w:r>
      <w:r>
        <w:rPr>
          <w:szCs w:val="22"/>
        </w:rPr>
        <w:t>Cornwall Council;</w:t>
      </w:r>
    </w:p>
    <w:p w:rsidR="00E50232" w:rsidRPr="008F7411" w:rsidRDefault="00E50232" w:rsidP="00E50232">
      <w:pPr>
        <w:pStyle w:val="01BSCCParagraphbodystyle"/>
        <w:numPr>
          <w:ilvl w:val="0"/>
          <w:numId w:val="29"/>
        </w:numPr>
        <w:rPr>
          <w:szCs w:val="22"/>
        </w:rPr>
      </w:pPr>
      <w:r w:rsidRPr="008F7411">
        <w:rPr>
          <w:szCs w:val="22"/>
        </w:rPr>
        <w:t xml:space="preserve">All residents who own a share in their home where </w:t>
      </w:r>
      <w:r>
        <w:rPr>
          <w:szCs w:val="22"/>
        </w:rPr>
        <w:t>Cornwall Council</w:t>
      </w:r>
      <w:r w:rsidRPr="008F7411">
        <w:rPr>
          <w:szCs w:val="22"/>
        </w:rPr>
        <w:t xml:space="preserve"> retain</w:t>
      </w:r>
      <w:r>
        <w:rPr>
          <w:szCs w:val="22"/>
        </w:rPr>
        <w:t>s</w:t>
      </w:r>
      <w:r w:rsidRPr="008F7411">
        <w:rPr>
          <w:szCs w:val="22"/>
        </w:rPr>
        <w:t xml:space="preserve"> a responsibility for providing services</w:t>
      </w:r>
      <w:r>
        <w:rPr>
          <w:szCs w:val="22"/>
        </w:rPr>
        <w:t>;</w:t>
      </w:r>
    </w:p>
    <w:p w:rsidR="00E50232" w:rsidRDefault="00E50232" w:rsidP="00E50232">
      <w:pPr>
        <w:pStyle w:val="01BSCCParagraphbodystyle"/>
        <w:numPr>
          <w:ilvl w:val="0"/>
          <w:numId w:val="29"/>
        </w:numPr>
        <w:rPr>
          <w:szCs w:val="22"/>
        </w:rPr>
      </w:pPr>
      <w:r w:rsidRPr="008F7411">
        <w:rPr>
          <w:szCs w:val="22"/>
        </w:rPr>
        <w:t xml:space="preserve">All residents who own their homes outright but who have contractual obligations to contribute to services provided by </w:t>
      </w:r>
      <w:r>
        <w:rPr>
          <w:szCs w:val="22"/>
        </w:rPr>
        <w:t>Cornwall Council</w:t>
      </w:r>
      <w:r w:rsidRPr="008F7411">
        <w:rPr>
          <w:szCs w:val="22"/>
        </w:rPr>
        <w:t>.</w:t>
      </w:r>
    </w:p>
    <w:p w:rsidR="00E50232" w:rsidRDefault="00E50232" w:rsidP="00E50232">
      <w:pPr>
        <w:rPr>
          <w:rFonts w:ascii="Verdana" w:hAnsi="Verdana"/>
          <w:sz w:val="22"/>
          <w:szCs w:val="22"/>
        </w:rPr>
      </w:pPr>
      <w:r>
        <w:rPr>
          <w:rFonts w:ascii="Verdana" w:hAnsi="Verdana"/>
          <w:sz w:val="22"/>
          <w:szCs w:val="22"/>
        </w:rPr>
        <w:t>A s</w:t>
      </w:r>
      <w:r w:rsidRPr="004C0F41">
        <w:rPr>
          <w:rFonts w:ascii="Verdana" w:hAnsi="Verdana"/>
          <w:sz w:val="22"/>
          <w:szCs w:val="22"/>
        </w:rPr>
        <w:t>ervice charge</w:t>
      </w:r>
      <w:r>
        <w:rPr>
          <w:rFonts w:ascii="Verdana" w:hAnsi="Verdana"/>
          <w:sz w:val="22"/>
          <w:szCs w:val="22"/>
        </w:rPr>
        <w:t xml:space="preserve"> is:</w:t>
      </w:r>
    </w:p>
    <w:p w:rsidR="00E50232" w:rsidRDefault="00E50232" w:rsidP="00E50232">
      <w:pPr>
        <w:rPr>
          <w:rFonts w:ascii="Verdana" w:hAnsi="Verdana"/>
          <w:sz w:val="22"/>
          <w:szCs w:val="22"/>
        </w:rPr>
      </w:pPr>
    </w:p>
    <w:p w:rsidR="00E50232" w:rsidRDefault="00E50232" w:rsidP="00E50232">
      <w:pPr>
        <w:rPr>
          <w:rFonts w:ascii="Verdana" w:hAnsi="Verdana"/>
          <w:sz w:val="22"/>
          <w:szCs w:val="22"/>
        </w:rPr>
      </w:pPr>
      <w:r>
        <w:rPr>
          <w:rFonts w:ascii="Verdana" w:hAnsi="Verdana"/>
          <w:sz w:val="22"/>
          <w:szCs w:val="22"/>
        </w:rPr>
        <w:t>A</w:t>
      </w:r>
      <w:r w:rsidRPr="004C0F41">
        <w:rPr>
          <w:rFonts w:ascii="Verdana" w:hAnsi="Verdana"/>
          <w:sz w:val="22"/>
          <w:szCs w:val="22"/>
        </w:rPr>
        <w:t xml:space="preserve"> payment made by a resident towards the cost of providing</w:t>
      </w:r>
      <w:r>
        <w:rPr>
          <w:rFonts w:ascii="Verdana" w:hAnsi="Verdana"/>
          <w:sz w:val="22"/>
          <w:szCs w:val="22"/>
        </w:rPr>
        <w:t>,</w:t>
      </w:r>
      <w:r w:rsidRPr="004C0F41">
        <w:rPr>
          <w:rFonts w:ascii="Verdana" w:hAnsi="Verdana"/>
          <w:sz w:val="22"/>
          <w:szCs w:val="22"/>
        </w:rPr>
        <w:t xml:space="preserve"> maintaining </w:t>
      </w:r>
      <w:r>
        <w:rPr>
          <w:rFonts w:ascii="Verdana" w:hAnsi="Verdana"/>
          <w:sz w:val="22"/>
          <w:szCs w:val="22"/>
        </w:rPr>
        <w:t xml:space="preserve">and renewing </w:t>
      </w:r>
      <w:r w:rsidRPr="004C0F41">
        <w:rPr>
          <w:rFonts w:ascii="Verdana" w:hAnsi="Verdana"/>
          <w:sz w:val="22"/>
          <w:szCs w:val="22"/>
        </w:rPr>
        <w:t>any shared facilities</w:t>
      </w:r>
      <w:r>
        <w:rPr>
          <w:rFonts w:ascii="Verdana" w:hAnsi="Verdana"/>
          <w:sz w:val="22"/>
          <w:szCs w:val="22"/>
        </w:rPr>
        <w:t>, common areas, the structure and exterior of a shared building</w:t>
      </w:r>
      <w:r w:rsidRPr="004C0F41">
        <w:rPr>
          <w:rFonts w:ascii="Verdana" w:hAnsi="Verdana"/>
          <w:sz w:val="22"/>
          <w:szCs w:val="22"/>
        </w:rPr>
        <w:t xml:space="preserve"> or </w:t>
      </w:r>
      <w:r>
        <w:rPr>
          <w:rFonts w:ascii="Verdana" w:hAnsi="Verdana"/>
          <w:sz w:val="22"/>
          <w:szCs w:val="22"/>
        </w:rPr>
        <w:t xml:space="preserve">providing </w:t>
      </w:r>
      <w:r w:rsidRPr="004C0F41">
        <w:rPr>
          <w:rFonts w:ascii="Verdana" w:hAnsi="Verdana"/>
          <w:sz w:val="22"/>
          <w:szCs w:val="22"/>
        </w:rPr>
        <w:t xml:space="preserve">extra services.  </w:t>
      </w:r>
    </w:p>
    <w:p w:rsidR="00E50232" w:rsidRDefault="00E50232" w:rsidP="00E50232">
      <w:pPr>
        <w:rPr>
          <w:rFonts w:ascii="Verdana" w:hAnsi="Verdana"/>
          <w:sz w:val="22"/>
          <w:szCs w:val="22"/>
        </w:rPr>
      </w:pPr>
    </w:p>
    <w:p w:rsidR="00E50232" w:rsidRPr="00197373" w:rsidRDefault="00E50232" w:rsidP="00E50232">
      <w:pPr>
        <w:pStyle w:val="01BSCCParagraphbodystyle"/>
        <w:rPr>
          <w:rStyle w:val="Heading1Char"/>
          <w:b w:val="0"/>
          <w:szCs w:val="22"/>
        </w:rPr>
      </w:pPr>
      <w:r w:rsidRPr="004C0F41">
        <w:rPr>
          <w:szCs w:val="22"/>
        </w:rPr>
        <w:t xml:space="preserve">These charges are set separately to the rent </w:t>
      </w:r>
      <w:r>
        <w:rPr>
          <w:szCs w:val="22"/>
        </w:rPr>
        <w:t>paid by a tenant, a licence fee paid by a licensee, a ground rent paid by a lessee and the purchase price paid by a RTB home owner or successor in title.</w:t>
      </w:r>
    </w:p>
    <w:p w:rsidR="005C2A4E" w:rsidRPr="005C2A4E" w:rsidRDefault="00E50232" w:rsidP="005C2A4E">
      <w:pPr>
        <w:pStyle w:val="01BSCCParagraphbodystyle"/>
        <w:rPr>
          <w:b/>
          <w:color w:val="EE6821"/>
          <w:sz w:val="24"/>
          <w:szCs w:val="24"/>
        </w:rPr>
      </w:pPr>
      <w:r>
        <w:rPr>
          <w:b/>
          <w:color w:val="EE6821"/>
          <w:sz w:val="24"/>
          <w:szCs w:val="24"/>
        </w:rPr>
        <w:t>5. Policy details</w:t>
      </w:r>
    </w:p>
    <w:p w:rsidR="00E50232" w:rsidRDefault="00E50232" w:rsidP="00E50232">
      <w:pPr>
        <w:rPr>
          <w:rFonts w:ascii="Verdana" w:hAnsi="Verdana"/>
          <w:sz w:val="22"/>
          <w:szCs w:val="22"/>
        </w:rPr>
      </w:pPr>
      <w:r>
        <w:rPr>
          <w:rFonts w:ascii="Verdana" w:hAnsi="Verdana"/>
          <w:sz w:val="22"/>
          <w:szCs w:val="22"/>
        </w:rPr>
        <w:t xml:space="preserve">This policy specifically covers the service charges we make to tenants, leaseholders, </w:t>
      </w:r>
      <w:proofErr w:type="gramStart"/>
      <w:r>
        <w:rPr>
          <w:rFonts w:ascii="Verdana" w:hAnsi="Verdana"/>
          <w:sz w:val="22"/>
          <w:szCs w:val="22"/>
        </w:rPr>
        <w:t>licensees</w:t>
      </w:r>
      <w:proofErr w:type="gramEnd"/>
      <w:r>
        <w:rPr>
          <w:rFonts w:ascii="Verdana" w:hAnsi="Verdana"/>
          <w:sz w:val="22"/>
          <w:szCs w:val="22"/>
        </w:rPr>
        <w:t xml:space="preserve"> and specified Right to Buy freeholders and their successors in title, for services which are provided</w:t>
      </w:r>
      <w:r w:rsidR="00636C02">
        <w:rPr>
          <w:rFonts w:ascii="Verdana" w:hAnsi="Verdana"/>
          <w:sz w:val="22"/>
          <w:szCs w:val="22"/>
        </w:rPr>
        <w:t xml:space="preserve"> and funded </w:t>
      </w:r>
      <w:r>
        <w:rPr>
          <w:rFonts w:ascii="Verdana" w:hAnsi="Verdana"/>
          <w:sz w:val="22"/>
          <w:szCs w:val="22"/>
        </w:rPr>
        <w:t>by the Council’s Housing Revenue Account (HRA).</w:t>
      </w:r>
    </w:p>
    <w:p w:rsidR="00E50232" w:rsidRDefault="00E50232" w:rsidP="00E50232">
      <w:pPr>
        <w:rPr>
          <w:rFonts w:ascii="Verdana" w:hAnsi="Verdana"/>
          <w:sz w:val="22"/>
          <w:szCs w:val="22"/>
        </w:rPr>
      </w:pPr>
    </w:p>
    <w:p w:rsidR="00E50232" w:rsidRDefault="00E50232" w:rsidP="00E50232">
      <w:pPr>
        <w:rPr>
          <w:rFonts w:ascii="Verdana" w:hAnsi="Verdana"/>
          <w:sz w:val="22"/>
          <w:szCs w:val="22"/>
        </w:rPr>
      </w:pPr>
      <w:r>
        <w:rPr>
          <w:rFonts w:ascii="Verdana" w:hAnsi="Verdana"/>
          <w:sz w:val="22"/>
          <w:szCs w:val="22"/>
        </w:rPr>
        <w:t>HRA services charges include but are not restricted to:</w:t>
      </w:r>
    </w:p>
    <w:p w:rsidR="00E50232" w:rsidRDefault="00E50232" w:rsidP="00E50232">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916"/>
      </w:tblGrid>
      <w:tr w:rsidR="00E50232" w:rsidTr="00AD276D">
        <w:trPr>
          <w:tblHeader/>
        </w:trPr>
        <w:tc>
          <w:tcPr>
            <w:tcW w:w="2802" w:type="dxa"/>
            <w:shd w:val="clear" w:color="auto" w:fill="FFC000"/>
          </w:tcPr>
          <w:p w:rsidR="00E50232" w:rsidRPr="00223378" w:rsidRDefault="00E50232" w:rsidP="00AD276D">
            <w:pPr>
              <w:rPr>
                <w:rFonts w:ascii="Verdana" w:hAnsi="Verdana"/>
                <w:b/>
                <w:sz w:val="22"/>
                <w:szCs w:val="22"/>
              </w:rPr>
            </w:pPr>
            <w:r w:rsidRPr="00223378">
              <w:rPr>
                <w:rFonts w:ascii="Verdana" w:hAnsi="Verdana"/>
                <w:b/>
                <w:sz w:val="22"/>
                <w:szCs w:val="22"/>
              </w:rPr>
              <w:t>Service</w:t>
            </w:r>
          </w:p>
        </w:tc>
        <w:tc>
          <w:tcPr>
            <w:tcW w:w="5916" w:type="dxa"/>
            <w:shd w:val="clear" w:color="auto" w:fill="FFC000"/>
          </w:tcPr>
          <w:p w:rsidR="00E50232" w:rsidRPr="00223378" w:rsidRDefault="00E50232" w:rsidP="00AD276D">
            <w:pPr>
              <w:rPr>
                <w:rFonts w:ascii="Verdana" w:hAnsi="Verdana"/>
                <w:b/>
                <w:sz w:val="22"/>
                <w:szCs w:val="22"/>
              </w:rPr>
            </w:pPr>
            <w:r w:rsidRPr="00223378">
              <w:rPr>
                <w:rFonts w:ascii="Verdana" w:hAnsi="Verdana"/>
                <w:b/>
                <w:sz w:val="22"/>
                <w:szCs w:val="22"/>
              </w:rPr>
              <w:t>Examples</w:t>
            </w:r>
          </w:p>
        </w:tc>
      </w:tr>
      <w:tr w:rsidR="00E50232" w:rsidTr="00AD276D">
        <w:tc>
          <w:tcPr>
            <w:tcW w:w="2802" w:type="dxa"/>
            <w:shd w:val="clear" w:color="auto" w:fill="auto"/>
          </w:tcPr>
          <w:p w:rsidR="00E50232" w:rsidRPr="00223378" w:rsidRDefault="00E50232" w:rsidP="00AD276D">
            <w:pPr>
              <w:rPr>
                <w:rFonts w:ascii="Verdana" w:hAnsi="Verdana"/>
                <w:sz w:val="22"/>
                <w:szCs w:val="22"/>
              </w:rPr>
            </w:pPr>
            <w:r w:rsidRPr="00223378">
              <w:rPr>
                <w:rFonts w:ascii="Verdana" w:hAnsi="Verdana"/>
                <w:sz w:val="22"/>
                <w:szCs w:val="22"/>
              </w:rPr>
              <w:t>Buildings Insurance</w:t>
            </w:r>
          </w:p>
        </w:tc>
        <w:tc>
          <w:tcPr>
            <w:tcW w:w="5916" w:type="dxa"/>
            <w:shd w:val="clear" w:color="auto" w:fill="auto"/>
          </w:tcPr>
          <w:p w:rsidR="00E50232" w:rsidRPr="00223378" w:rsidRDefault="00E50232" w:rsidP="00E50232">
            <w:pPr>
              <w:pStyle w:val="ListParagraph"/>
              <w:numPr>
                <w:ilvl w:val="0"/>
                <w:numId w:val="16"/>
              </w:numPr>
              <w:rPr>
                <w:rFonts w:ascii="Verdana" w:hAnsi="Verdana"/>
                <w:sz w:val="22"/>
                <w:szCs w:val="22"/>
              </w:rPr>
            </w:pPr>
            <w:r w:rsidRPr="00223378">
              <w:rPr>
                <w:rFonts w:ascii="Verdana" w:hAnsi="Verdana"/>
                <w:sz w:val="22"/>
                <w:szCs w:val="22"/>
              </w:rPr>
              <w:t xml:space="preserve">This is usually covered in the leaseholder’s lease </w:t>
            </w:r>
            <w:r>
              <w:rPr>
                <w:rFonts w:ascii="Verdana" w:hAnsi="Verdana"/>
                <w:sz w:val="22"/>
                <w:szCs w:val="22"/>
              </w:rPr>
              <w:t xml:space="preserve">with a yearly charge made to the leaseholder to cover this cost, </w:t>
            </w:r>
            <w:r w:rsidRPr="00223378">
              <w:rPr>
                <w:rFonts w:ascii="Verdana" w:hAnsi="Verdana"/>
                <w:sz w:val="22"/>
                <w:szCs w:val="22"/>
              </w:rPr>
              <w:t>but tenants and licensees currently pay for this in their rent.</w:t>
            </w:r>
            <w:r w:rsidRPr="00223378">
              <w:rPr>
                <w:rFonts w:ascii="Verdana" w:hAnsi="Verdana"/>
                <w:sz w:val="22"/>
                <w:szCs w:val="22"/>
              </w:rPr>
              <w:br/>
            </w:r>
          </w:p>
        </w:tc>
      </w:tr>
      <w:tr w:rsidR="00E50232" w:rsidTr="0054422B">
        <w:trPr>
          <w:trHeight w:val="849"/>
        </w:trPr>
        <w:tc>
          <w:tcPr>
            <w:tcW w:w="2802" w:type="dxa"/>
            <w:shd w:val="clear" w:color="auto" w:fill="auto"/>
          </w:tcPr>
          <w:p w:rsidR="00E50232" w:rsidRPr="00223378" w:rsidRDefault="00E50232" w:rsidP="00AD276D">
            <w:pPr>
              <w:rPr>
                <w:rFonts w:ascii="Verdana" w:hAnsi="Verdana"/>
                <w:sz w:val="22"/>
                <w:szCs w:val="22"/>
              </w:rPr>
            </w:pPr>
            <w:r w:rsidRPr="00223378">
              <w:rPr>
                <w:rFonts w:ascii="Verdana" w:hAnsi="Verdana"/>
                <w:sz w:val="22"/>
                <w:szCs w:val="22"/>
              </w:rPr>
              <w:t>Communal Area Electricity</w:t>
            </w:r>
          </w:p>
        </w:tc>
        <w:tc>
          <w:tcPr>
            <w:tcW w:w="5916" w:type="dxa"/>
            <w:shd w:val="clear" w:color="auto" w:fill="auto"/>
          </w:tcPr>
          <w:p w:rsidR="00E50232" w:rsidRPr="00223378" w:rsidRDefault="00E50232" w:rsidP="00E50232">
            <w:pPr>
              <w:pStyle w:val="ListParagraph"/>
              <w:numPr>
                <w:ilvl w:val="0"/>
                <w:numId w:val="16"/>
              </w:numPr>
              <w:rPr>
                <w:rFonts w:ascii="Verdana" w:hAnsi="Verdana"/>
                <w:sz w:val="22"/>
                <w:szCs w:val="22"/>
              </w:rPr>
            </w:pPr>
            <w:r w:rsidRPr="00223378">
              <w:rPr>
                <w:rFonts w:ascii="Verdana" w:hAnsi="Verdana"/>
                <w:sz w:val="22"/>
                <w:szCs w:val="22"/>
              </w:rPr>
              <w:t xml:space="preserve">Provide, maintain and renew internal communal lighting, in corridors, staircases, community rooms etc. within HRA blocks of flats, HRA groups of homes or homeless </w:t>
            </w:r>
            <w:r>
              <w:rPr>
                <w:rFonts w:ascii="Verdana" w:hAnsi="Verdana"/>
                <w:sz w:val="22"/>
                <w:szCs w:val="22"/>
              </w:rPr>
              <w:t xml:space="preserve">hostels </w:t>
            </w:r>
            <w:r w:rsidRPr="00223378">
              <w:rPr>
                <w:rFonts w:ascii="Verdana" w:hAnsi="Verdana"/>
                <w:sz w:val="22"/>
                <w:szCs w:val="22"/>
              </w:rPr>
              <w:t xml:space="preserve">with communal facilities; and/or </w:t>
            </w:r>
          </w:p>
          <w:p w:rsidR="00E50232" w:rsidRPr="00223378" w:rsidRDefault="00E50232" w:rsidP="00E50232">
            <w:pPr>
              <w:pStyle w:val="ListParagraph"/>
              <w:numPr>
                <w:ilvl w:val="0"/>
                <w:numId w:val="16"/>
              </w:numPr>
              <w:rPr>
                <w:rFonts w:ascii="Verdana" w:hAnsi="Verdana"/>
                <w:sz w:val="22"/>
                <w:szCs w:val="22"/>
              </w:rPr>
            </w:pPr>
            <w:r w:rsidRPr="00223378">
              <w:rPr>
                <w:rFonts w:ascii="Verdana" w:hAnsi="Verdana"/>
                <w:sz w:val="22"/>
                <w:szCs w:val="22"/>
              </w:rPr>
              <w:t xml:space="preserve">Provide, maintain and renew external communal lighting fitted on the outside of HRA blocks of flats, HRA groups of homes or homeless hostels with communal facilities; and/ or </w:t>
            </w:r>
          </w:p>
          <w:p w:rsidR="00E50232" w:rsidRPr="00223378" w:rsidRDefault="00E50232" w:rsidP="00E50232">
            <w:pPr>
              <w:pStyle w:val="ListParagraph"/>
              <w:numPr>
                <w:ilvl w:val="0"/>
                <w:numId w:val="16"/>
              </w:numPr>
              <w:rPr>
                <w:rFonts w:ascii="Verdana" w:hAnsi="Verdana"/>
                <w:sz w:val="22"/>
                <w:szCs w:val="22"/>
              </w:rPr>
            </w:pPr>
            <w:r w:rsidRPr="00223378">
              <w:rPr>
                <w:rFonts w:ascii="Verdana" w:hAnsi="Verdana"/>
                <w:sz w:val="22"/>
                <w:szCs w:val="22"/>
              </w:rPr>
              <w:t>Provide, maintain and renew lighting for unadopted roads, footpaths and/or car parking areas on HRA housing estates; and/or</w:t>
            </w:r>
          </w:p>
          <w:p w:rsidR="00E50232" w:rsidRPr="00223378" w:rsidRDefault="00E50232" w:rsidP="00E50232">
            <w:pPr>
              <w:pStyle w:val="ListParagraph"/>
              <w:numPr>
                <w:ilvl w:val="0"/>
                <w:numId w:val="16"/>
              </w:numPr>
              <w:rPr>
                <w:rFonts w:ascii="Verdana" w:hAnsi="Verdana"/>
                <w:sz w:val="22"/>
                <w:szCs w:val="22"/>
              </w:rPr>
            </w:pPr>
            <w:r w:rsidRPr="00223378">
              <w:rPr>
                <w:rFonts w:ascii="Verdana" w:hAnsi="Verdana"/>
                <w:sz w:val="22"/>
                <w:szCs w:val="22"/>
              </w:rPr>
              <w:t>Provide, maintain and renew electric storage heaters in communal corridors and communal rooms of HRA blocks of flats,  HRA grouped home schemes and homeless hostels; and/or</w:t>
            </w:r>
          </w:p>
          <w:p w:rsidR="00E50232" w:rsidRPr="00223378" w:rsidRDefault="00E50232" w:rsidP="00E50232">
            <w:pPr>
              <w:pStyle w:val="ListParagraph"/>
              <w:numPr>
                <w:ilvl w:val="0"/>
                <w:numId w:val="16"/>
              </w:numPr>
              <w:rPr>
                <w:rFonts w:ascii="Verdana" w:hAnsi="Verdana"/>
                <w:sz w:val="22"/>
                <w:szCs w:val="22"/>
              </w:rPr>
            </w:pPr>
            <w:r w:rsidRPr="00223378">
              <w:rPr>
                <w:rFonts w:ascii="Verdana" w:hAnsi="Verdana"/>
                <w:sz w:val="22"/>
                <w:szCs w:val="22"/>
              </w:rPr>
              <w:lastRenderedPageBreak/>
              <w:t>The cost of supplying electricity to power the items above and below in this table, powered by electricity.</w:t>
            </w:r>
          </w:p>
          <w:p w:rsidR="00E50232" w:rsidRPr="00B941CF" w:rsidRDefault="00E50232" w:rsidP="00AD276D">
            <w:pPr>
              <w:rPr>
                <w:rFonts w:ascii="Verdana" w:hAnsi="Verdana"/>
                <w:sz w:val="16"/>
                <w:szCs w:val="16"/>
              </w:rPr>
            </w:pPr>
          </w:p>
        </w:tc>
      </w:tr>
      <w:tr w:rsidR="00E50232" w:rsidTr="00AD276D">
        <w:tc>
          <w:tcPr>
            <w:tcW w:w="2802" w:type="dxa"/>
            <w:shd w:val="clear" w:color="auto" w:fill="auto"/>
          </w:tcPr>
          <w:p w:rsidR="00E50232" w:rsidRPr="00223378" w:rsidRDefault="00E50232" w:rsidP="00AD276D">
            <w:pPr>
              <w:rPr>
                <w:rFonts w:ascii="Verdana" w:hAnsi="Verdana"/>
                <w:sz w:val="22"/>
                <w:szCs w:val="22"/>
              </w:rPr>
            </w:pPr>
            <w:r w:rsidRPr="00223378">
              <w:rPr>
                <w:rFonts w:ascii="Verdana" w:hAnsi="Verdana"/>
                <w:sz w:val="22"/>
                <w:szCs w:val="22"/>
              </w:rPr>
              <w:lastRenderedPageBreak/>
              <w:t>Communal Area Cleaning</w:t>
            </w:r>
          </w:p>
        </w:tc>
        <w:tc>
          <w:tcPr>
            <w:tcW w:w="5916" w:type="dxa"/>
            <w:shd w:val="clear" w:color="auto" w:fill="auto"/>
          </w:tcPr>
          <w:p w:rsidR="00E50232" w:rsidRPr="00223378" w:rsidRDefault="00E50232" w:rsidP="00E50232">
            <w:pPr>
              <w:pStyle w:val="ListParagraph"/>
              <w:numPr>
                <w:ilvl w:val="0"/>
                <w:numId w:val="18"/>
              </w:numPr>
              <w:rPr>
                <w:rFonts w:ascii="Verdana" w:hAnsi="Verdana"/>
                <w:sz w:val="22"/>
                <w:szCs w:val="22"/>
              </w:rPr>
            </w:pPr>
            <w:r w:rsidRPr="00223378">
              <w:rPr>
                <w:rFonts w:ascii="Verdana" w:hAnsi="Verdana"/>
                <w:sz w:val="22"/>
                <w:szCs w:val="22"/>
              </w:rPr>
              <w:t>Internal cleaning of floors, walls, staircases, etc. within HRA blocks of flats, HRA grouped home schemes or homeless hostels with communal facilities, in communal corridors, staircases, community rooms etc. and/or</w:t>
            </w:r>
          </w:p>
          <w:p w:rsidR="00E50232" w:rsidRPr="00223378" w:rsidRDefault="00E50232" w:rsidP="00E50232">
            <w:pPr>
              <w:pStyle w:val="ListParagraph"/>
              <w:numPr>
                <w:ilvl w:val="0"/>
                <w:numId w:val="18"/>
              </w:numPr>
              <w:rPr>
                <w:rFonts w:ascii="Verdana" w:hAnsi="Verdana"/>
                <w:sz w:val="22"/>
                <w:szCs w:val="22"/>
              </w:rPr>
            </w:pPr>
            <w:r w:rsidRPr="00223378">
              <w:rPr>
                <w:rFonts w:ascii="Verdana" w:hAnsi="Verdana"/>
                <w:sz w:val="22"/>
                <w:szCs w:val="22"/>
              </w:rPr>
              <w:t>Cleaning of communal windows internally and externally for HRA blocks of flats, HRA grouped home schemes or homeless hostels with communal areas/facilities; and/or</w:t>
            </w:r>
          </w:p>
          <w:p w:rsidR="00E50232" w:rsidRPr="00223378" w:rsidRDefault="00E50232" w:rsidP="00E50232">
            <w:pPr>
              <w:pStyle w:val="ListParagraph"/>
              <w:numPr>
                <w:ilvl w:val="0"/>
                <w:numId w:val="18"/>
              </w:numPr>
              <w:rPr>
                <w:rFonts w:ascii="Verdana" w:hAnsi="Verdana"/>
                <w:sz w:val="22"/>
                <w:szCs w:val="22"/>
              </w:rPr>
            </w:pPr>
            <w:r w:rsidRPr="00223378">
              <w:rPr>
                <w:rFonts w:ascii="Verdana" w:hAnsi="Verdana"/>
                <w:sz w:val="22"/>
                <w:szCs w:val="22"/>
              </w:rPr>
              <w:t>External cleaning of, footpaths, surrounding HRA blocks of flats, HRA grouped home schemes,</w:t>
            </w:r>
            <w:r>
              <w:rPr>
                <w:rFonts w:ascii="Verdana" w:hAnsi="Verdana"/>
                <w:sz w:val="22"/>
                <w:szCs w:val="22"/>
              </w:rPr>
              <w:t xml:space="preserve"> and</w:t>
            </w:r>
            <w:r w:rsidRPr="00223378">
              <w:rPr>
                <w:rFonts w:ascii="Verdana" w:hAnsi="Verdana"/>
                <w:sz w:val="22"/>
                <w:szCs w:val="22"/>
              </w:rPr>
              <w:t xml:space="preserve"> Homeless </w:t>
            </w:r>
            <w:proofErr w:type="gramStart"/>
            <w:r w:rsidRPr="00223378">
              <w:rPr>
                <w:rFonts w:ascii="Verdana" w:hAnsi="Verdana"/>
                <w:sz w:val="22"/>
                <w:szCs w:val="22"/>
              </w:rPr>
              <w:t>hostels .</w:t>
            </w:r>
            <w:proofErr w:type="gramEnd"/>
          </w:p>
          <w:p w:rsidR="00E50232" w:rsidRPr="00B941CF" w:rsidRDefault="00E50232" w:rsidP="00AD276D">
            <w:pPr>
              <w:rPr>
                <w:rFonts w:ascii="Verdana" w:hAnsi="Verdana"/>
                <w:sz w:val="16"/>
                <w:szCs w:val="16"/>
              </w:rPr>
            </w:pPr>
          </w:p>
        </w:tc>
      </w:tr>
      <w:tr w:rsidR="00E50232" w:rsidTr="00AD276D">
        <w:tc>
          <w:tcPr>
            <w:tcW w:w="2802" w:type="dxa"/>
            <w:shd w:val="clear" w:color="auto" w:fill="auto"/>
          </w:tcPr>
          <w:p w:rsidR="00E50232" w:rsidRPr="00223378" w:rsidRDefault="00E50232" w:rsidP="00AD276D">
            <w:pPr>
              <w:rPr>
                <w:rFonts w:ascii="Verdana" w:hAnsi="Verdana"/>
                <w:sz w:val="22"/>
                <w:szCs w:val="22"/>
              </w:rPr>
            </w:pPr>
            <w:r>
              <w:rPr>
                <w:rFonts w:ascii="Verdana" w:hAnsi="Verdana"/>
                <w:sz w:val="22"/>
                <w:szCs w:val="22"/>
              </w:rPr>
              <w:t xml:space="preserve">Amenity and </w:t>
            </w:r>
            <w:r w:rsidRPr="00223378">
              <w:rPr>
                <w:rFonts w:ascii="Verdana" w:hAnsi="Verdana"/>
                <w:sz w:val="22"/>
                <w:szCs w:val="22"/>
              </w:rPr>
              <w:t>Communal Grounds Maintenance</w:t>
            </w:r>
          </w:p>
        </w:tc>
        <w:tc>
          <w:tcPr>
            <w:tcW w:w="5916" w:type="dxa"/>
            <w:shd w:val="clear" w:color="auto" w:fill="auto"/>
          </w:tcPr>
          <w:p w:rsidR="00E50232" w:rsidRPr="00223378" w:rsidRDefault="00E50232" w:rsidP="00E50232">
            <w:pPr>
              <w:pStyle w:val="ListParagraph"/>
              <w:numPr>
                <w:ilvl w:val="0"/>
                <w:numId w:val="19"/>
              </w:numPr>
              <w:rPr>
                <w:rFonts w:ascii="Verdana" w:hAnsi="Verdana"/>
                <w:sz w:val="22"/>
                <w:szCs w:val="22"/>
              </w:rPr>
            </w:pPr>
            <w:r w:rsidRPr="00223378">
              <w:rPr>
                <w:rFonts w:ascii="Verdana" w:hAnsi="Verdana"/>
                <w:sz w:val="22"/>
                <w:szCs w:val="22"/>
              </w:rPr>
              <w:t xml:space="preserve">Providing, maintaining and renewing open grassed areas, hard landscaped </w:t>
            </w:r>
            <w:r w:rsidRPr="00B941CF">
              <w:rPr>
                <w:rFonts w:ascii="Verdana" w:hAnsi="Verdana"/>
                <w:sz w:val="22"/>
                <w:szCs w:val="22"/>
              </w:rPr>
              <w:t>and soft landscaped areas</w:t>
            </w:r>
            <w:r w:rsidRPr="00223378">
              <w:rPr>
                <w:rFonts w:ascii="Verdana" w:hAnsi="Verdana"/>
                <w:sz w:val="22"/>
                <w:szCs w:val="22"/>
              </w:rPr>
              <w:t xml:space="preserve"> in communal areas around HRA blocks of flats, HRA grouped home schemes and HRA homeless hostels; and/or </w:t>
            </w:r>
          </w:p>
          <w:p w:rsidR="00E50232" w:rsidRPr="00223378" w:rsidRDefault="00E50232" w:rsidP="00E50232">
            <w:pPr>
              <w:pStyle w:val="ListParagraph"/>
              <w:numPr>
                <w:ilvl w:val="0"/>
                <w:numId w:val="19"/>
              </w:numPr>
              <w:rPr>
                <w:rFonts w:ascii="Verdana" w:hAnsi="Verdana"/>
                <w:sz w:val="22"/>
                <w:szCs w:val="22"/>
              </w:rPr>
            </w:pPr>
            <w:r w:rsidRPr="00223378">
              <w:rPr>
                <w:rFonts w:ascii="Verdana" w:hAnsi="Verdana"/>
                <w:sz w:val="22"/>
                <w:szCs w:val="22"/>
              </w:rPr>
              <w:t xml:space="preserve">Providing, maintaining and renewing unadopted </w:t>
            </w:r>
            <w:r>
              <w:rPr>
                <w:rFonts w:ascii="Verdana" w:hAnsi="Verdana"/>
                <w:sz w:val="22"/>
                <w:szCs w:val="22"/>
              </w:rPr>
              <w:t>amenity</w:t>
            </w:r>
            <w:r w:rsidRPr="00223378">
              <w:rPr>
                <w:rFonts w:ascii="Verdana" w:hAnsi="Verdana"/>
                <w:sz w:val="22"/>
                <w:szCs w:val="22"/>
              </w:rPr>
              <w:t xml:space="preserve"> open grassed areas, hard landscaped, soft landscaped areas and play areas on HRA housing estates; and/or </w:t>
            </w:r>
          </w:p>
          <w:p w:rsidR="00E50232" w:rsidRPr="00B941CF" w:rsidRDefault="00E50232" w:rsidP="00E50232">
            <w:pPr>
              <w:pStyle w:val="ListParagraph"/>
              <w:numPr>
                <w:ilvl w:val="0"/>
                <w:numId w:val="19"/>
              </w:numPr>
              <w:rPr>
                <w:rFonts w:ascii="Verdana" w:hAnsi="Verdana"/>
                <w:sz w:val="22"/>
                <w:szCs w:val="22"/>
              </w:rPr>
            </w:pPr>
            <w:r w:rsidRPr="00223378">
              <w:rPr>
                <w:rFonts w:ascii="Verdana" w:hAnsi="Verdana"/>
                <w:sz w:val="22"/>
                <w:szCs w:val="22"/>
              </w:rPr>
              <w:t xml:space="preserve">Weed killing hard landscaped areas such as unadopted roads, footpaths and car parks surrounding HRA blocks of flats, HRA grouped home schemes, </w:t>
            </w:r>
            <w:proofErr w:type="gramStart"/>
            <w:r w:rsidRPr="00223378">
              <w:rPr>
                <w:rFonts w:ascii="Verdana" w:hAnsi="Verdana"/>
                <w:sz w:val="22"/>
                <w:szCs w:val="22"/>
              </w:rPr>
              <w:t>HRA</w:t>
            </w:r>
            <w:proofErr w:type="gramEnd"/>
            <w:r w:rsidRPr="00223378">
              <w:rPr>
                <w:rFonts w:ascii="Verdana" w:hAnsi="Verdana"/>
                <w:sz w:val="22"/>
                <w:szCs w:val="22"/>
              </w:rPr>
              <w:t xml:space="preserve"> homeless hostels </w:t>
            </w:r>
            <w:r w:rsidRPr="00B941CF">
              <w:rPr>
                <w:rFonts w:ascii="Verdana" w:hAnsi="Verdana"/>
                <w:sz w:val="22"/>
                <w:szCs w:val="22"/>
              </w:rPr>
              <w:t>and on HRA housing estates.</w:t>
            </w:r>
          </w:p>
          <w:p w:rsidR="00E50232" w:rsidRPr="00B941CF" w:rsidRDefault="00E50232" w:rsidP="00AD276D">
            <w:pPr>
              <w:rPr>
                <w:rFonts w:ascii="Verdana" w:hAnsi="Verdana"/>
                <w:sz w:val="16"/>
                <w:szCs w:val="16"/>
              </w:rPr>
            </w:pPr>
          </w:p>
        </w:tc>
      </w:tr>
      <w:tr w:rsidR="00E50232" w:rsidTr="00AD276D">
        <w:tc>
          <w:tcPr>
            <w:tcW w:w="2802" w:type="dxa"/>
            <w:shd w:val="clear" w:color="auto" w:fill="auto"/>
          </w:tcPr>
          <w:p w:rsidR="00E50232" w:rsidRPr="00223378" w:rsidRDefault="00E50232" w:rsidP="00AD276D">
            <w:pPr>
              <w:rPr>
                <w:rFonts w:ascii="Verdana" w:hAnsi="Verdana"/>
                <w:sz w:val="22"/>
                <w:szCs w:val="22"/>
              </w:rPr>
            </w:pPr>
            <w:r w:rsidRPr="00223378">
              <w:rPr>
                <w:rFonts w:ascii="Verdana" w:hAnsi="Verdana"/>
                <w:sz w:val="22"/>
                <w:szCs w:val="22"/>
              </w:rPr>
              <w:t>Communal Security Systems</w:t>
            </w:r>
          </w:p>
        </w:tc>
        <w:tc>
          <w:tcPr>
            <w:tcW w:w="5916" w:type="dxa"/>
            <w:shd w:val="clear" w:color="auto" w:fill="auto"/>
          </w:tcPr>
          <w:p w:rsidR="00E50232" w:rsidRPr="00223378" w:rsidRDefault="00E50232" w:rsidP="00E50232">
            <w:pPr>
              <w:pStyle w:val="ListParagraph"/>
              <w:numPr>
                <w:ilvl w:val="0"/>
                <w:numId w:val="20"/>
              </w:numPr>
              <w:rPr>
                <w:rFonts w:ascii="Verdana" w:hAnsi="Verdana"/>
                <w:sz w:val="22"/>
                <w:szCs w:val="22"/>
              </w:rPr>
            </w:pPr>
            <w:r w:rsidRPr="00223378">
              <w:rPr>
                <w:rFonts w:ascii="Verdana" w:hAnsi="Verdana"/>
                <w:sz w:val="22"/>
                <w:szCs w:val="22"/>
              </w:rPr>
              <w:t xml:space="preserve">Providing, maintaining and renewing Closed Circuit Television Systems in HRA blocks of flats, HRA grouped home schemes and HRA homeless hostels; and/ or </w:t>
            </w:r>
          </w:p>
          <w:p w:rsidR="00E50232" w:rsidRPr="00223378" w:rsidRDefault="00E50232" w:rsidP="00E50232">
            <w:pPr>
              <w:pStyle w:val="ListParagraph"/>
              <w:numPr>
                <w:ilvl w:val="0"/>
                <w:numId w:val="20"/>
              </w:numPr>
              <w:rPr>
                <w:rFonts w:ascii="Verdana" w:hAnsi="Verdana"/>
                <w:sz w:val="22"/>
                <w:szCs w:val="22"/>
              </w:rPr>
            </w:pPr>
            <w:r w:rsidRPr="00223378">
              <w:rPr>
                <w:rFonts w:ascii="Verdana" w:hAnsi="Verdana"/>
                <w:sz w:val="22"/>
                <w:szCs w:val="22"/>
              </w:rPr>
              <w:t xml:space="preserve">Providing, maintaining and renewing Door Entry Systems in HRA blocks of flats, HRA grouped home schemes and HRA homeless hostels; and </w:t>
            </w:r>
          </w:p>
          <w:p w:rsidR="00E50232" w:rsidRPr="00223378" w:rsidRDefault="00E50232" w:rsidP="00E50232">
            <w:pPr>
              <w:pStyle w:val="ListParagraph"/>
              <w:numPr>
                <w:ilvl w:val="0"/>
                <w:numId w:val="20"/>
              </w:numPr>
              <w:rPr>
                <w:rFonts w:ascii="Verdana" w:hAnsi="Verdana"/>
                <w:sz w:val="22"/>
                <w:szCs w:val="22"/>
              </w:rPr>
            </w:pPr>
            <w:r w:rsidRPr="00223378">
              <w:rPr>
                <w:rFonts w:ascii="Verdana" w:hAnsi="Verdana"/>
                <w:sz w:val="22"/>
                <w:szCs w:val="22"/>
              </w:rPr>
              <w:t>Periodic health &amp; safety check of such systems to ensure public safety.</w:t>
            </w:r>
          </w:p>
          <w:p w:rsidR="00E50232" w:rsidRPr="00B941CF" w:rsidRDefault="00E50232" w:rsidP="00AD276D">
            <w:pPr>
              <w:rPr>
                <w:rFonts w:ascii="Verdana" w:hAnsi="Verdana"/>
                <w:sz w:val="16"/>
                <w:szCs w:val="16"/>
              </w:rPr>
            </w:pPr>
          </w:p>
        </w:tc>
      </w:tr>
      <w:tr w:rsidR="00E50232" w:rsidTr="00AD276D">
        <w:tc>
          <w:tcPr>
            <w:tcW w:w="2802" w:type="dxa"/>
            <w:shd w:val="clear" w:color="auto" w:fill="auto"/>
          </w:tcPr>
          <w:p w:rsidR="00E50232" w:rsidRPr="00223378" w:rsidRDefault="00E50232" w:rsidP="00AD276D">
            <w:pPr>
              <w:rPr>
                <w:rFonts w:ascii="Verdana" w:hAnsi="Verdana"/>
                <w:sz w:val="22"/>
                <w:szCs w:val="22"/>
              </w:rPr>
            </w:pPr>
            <w:r w:rsidRPr="00223378">
              <w:rPr>
                <w:rFonts w:ascii="Verdana" w:hAnsi="Verdana"/>
                <w:sz w:val="22"/>
                <w:szCs w:val="22"/>
              </w:rPr>
              <w:t>Emergency Alarm Call Systems</w:t>
            </w:r>
          </w:p>
          <w:p w:rsidR="00E50232" w:rsidRPr="00223378" w:rsidRDefault="00E50232" w:rsidP="00AD276D">
            <w:pPr>
              <w:rPr>
                <w:rFonts w:ascii="Verdana" w:hAnsi="Verdana"/>
                <w:sz w:val="22"/>
                <w:szCs w:val="22"/>
              </w:rPr>
            </w:pPr>
          </w:p>
        </w:tc>
        <w:tc>
          <w:tcPr>
            <w:tcW w:w="5916" w:type="dxa"/>
            <w:shd w:val="clear" w:color="auto" w:fill="auto"/>
          </w:tcPr>
          <w:p w:rsidR="00E50232" w:rsidRPr="00223378" w:rsidRDefault="00E50232" w:rsidP="00E50232">
            <w:pPr>
              <w:pStyle w:val="ListParagraph"/>
              <w:numPr>
                <w:ilvl w:val="0"/>
                <w:numId w:val="21"/>
              </w:numPr>
              <w:rPr>
                <w:rFonts w:ascii="Verdana" w:hAnsi="Verdana"/>
                <w:sz w:val="22"/>
                <w:szCs w:val="22"/>
              </w:rPr>
            </w:pPr>
            <w:r w:rsidRPr="00223378">
              <w:rPr>
                <w:rFonts w:ascii="Verdana" w:hAnsi="Verdana"/>
                <w:sz w:val="22"/>
                <w:szCs w:val="22"/>
              </w:rPr>
              <w:t>Providing, maintaining and renewing hardwired emergency alarm call systems for vulnerable residents in HRA blocks of flats, HRA grouped home schemes and HRA homeless hostels; and</w:t>
            </w:r>
          </w:p>
          <w:p w:rsidR="00E50232" w:rsidRDefault="00E50232" w:rsidP="00E50232">
            <w:pPr>
              <w:pStyle w:val="ListParagraph"/>
              <w:numPr>
                <w:ilvl w:val="0"/>
                <w:numId w:val="21"/>
              </w:numPr>
              <w:rPr>
                <w:rFonts w:ascii="Verdana" w:hAnsi="Verdana"/>
                <w:sz w:val="22"/>
                <w:szCs w:val="22"/>
              </w:rPr>
            </w:pPr>
            <w:r w:rsidRPr="00223378">
              <w:rPr>
                <w:rFonts w:ascii="Verdana" w:hAnsi="Verdana"/>
                <w:sz w:val="22"/>
                <w:szCs w:val="22"/>
              </w:rPr>
              <w:t>Periodic checks of such systems to ensure public safety.</w:t>
            </w:r>
          </w:p>
          <w:p w:rsidR="0054422B" w:rsidRDefault="0054422B" w:rsidP="0054422B">
            <w:pPr>
              <w:pStyle w:val="ListParagraph"/>
              <w:ind w:left="360"/>
              <w:rPr>
                <w:rFonts w:ascii="Verdana" w:hAnsi="Verdana"/>
                <w:sz w:val="22"/>
                <w:szCs w:val="22"/>
              </w:rPr>
            </w:pPr>
          </w:p>
          <w:p w:rsidR="0054422B" w:rsidRDefault="0054422B" w:rsidP="0054422B">
            <w:pPr>
              <w:pStyle w:val="ListParagraph"/>
              <w:ind w:left="360"/>
              <w:rPr>
                <w:rFonts w:ascii="Verdana" w:hAnsi="Verdana"/>
                <w:sz w:val="22"/>
                <w:szCs w:val="22"/>
              </w:rPr>
            </w:pPr>
          </w:p>
          <w:p w:rsidR="0054422B" w:rsidRPr="00B941CF" w:rsidRDefault="0054422B" w:rsidP="0054422B">
            <w:pPr>
              <w:pStyle w:val="ListParagraph"/>
              <w:ind w:left="360"/>
              <w:rPr>
                <w:rFonts w:ascii="Verdana" w:hAnsi="Verdana"/>
                <w:sz w:val="22"/>
                <w:szCs w:val="22"/>
              </w:rPr>
            </w:pPr>
          </w:p>
        </w:tc>
      </w:tr>
      <w:tr w:rsidR="00E50232" w:rsidTr="00AD276D">
        <w:tc>
          <w:tcPr>
            <w:tcW w:w="2802" w:type="dxa"/>
            <w:shd w:val="clear" w:color="auto" w:fill="auto"/>
          </w:tcPr>
          <w:p w:rsidR="00E50232" w:rsidRPr="00223378" w:rsidRDefault="00E50232" w:rsidP="00AD276D">
            <w:pPr>
              <w:rPr>
                <w:rFonts w:ascii="Verdana" w:hAnsi="Verdana"/>
                <w:sz w:val="22"/>
                <w:szCs w:val="22"/>
              </w:rPr>
            </w:pPr>
            <w:r w:rsidRPr="00223378">
              <w:rPr>
                <w:rFonts w:ascii="Verdana" w:hAnsi="Verdana"/>
                <w:sz w:val="22"/>
                <w:szCs w:val="22"/>
              </w:rPr>
              <w:lastRenderedPageBreak/>
              <w:t>Concierge services &amp; hostel management</w:t>
            </w:r>
          </w:p>
          <w:p w:rsidR="00E50232" w:rsidRPr="00223378" w:rsidRDefault="00E50232" w:rsidP="00AD276D">
            <w:pPr>
              <w:rPr>
                <w:rFonts w:ascii="Verdana" w:hAnsi="Verdana"/>
                <w:sz w:val="22"/>
                <w:szCs w:val="22"/>
              </w:rPr>
            </w:pPr>
          </w:p>
        </w:tc>
        <w:tc>
          <w:tcPr>
            <w:tcW w:w="5916" w:type="dxa"/>
            <w:shd w:val="clear" w:color="auto" w:fill="auto"/>
          </w:tcPr>
          <w:p w:rsidR="00E50232" w:rsidRPr="00223378" w:rsidRDefault="00E50232" w:rsidP="00E50232">
            <w:pPr>
              <w:pStyle w:val="ListParagraph"/>
              <w:numPr>
                <w:ilvl w:val="0"/>
                <w:numId w:val="21"/>
              </w:numPr>
              <w:rPr>
                <w:rFonts w:ascii="Verdana" w:hAnsi="Verdana"/>
                <w:sz w:val="22"/>
                <w:szCs w:val="22"/>
              </w:rPr>
            </w:pPr>
            <w:r w:rsidRPr="00223378">
              <w:rPr>
                <w:rFonts w:ascii="Verdana" w:hAnsi="Verdana"/>
                <w:sz w:val="22"/>
                <w:szCs w:val="22"/>
              </w:rPr>
              <w:t xml:space="preserve">Providing scheme officers to assess and advise vulnerable residents </w:t>
            </w:r>
            <w:r>
              <w:rPr>
                <w:rFonts w:ascii="Verdana" w:hAnsi="Verdana"/>
                <w:sz w:val="22"/>
                <w:szCs w:val="22"/>
              </w:rPr>
              <w:t>on any property related issue,</w:t>
            </w:r>
            <w:r w:rsidRPr="00223378">
              <w:rPr>
                <w:rFonts w:ascii="Verdana" w:hAnsi="Verdana"/>
                <w:sz w:val="22"/>
                <w:szCs w:val="22"/>
              </w:rPr>
              <w:t xml:space="preserve"> carry out health &amp; safety checks; and</w:t>
            </w:r>
          </w:p>
          <w:p w:rsidR="00E50232" w:rsidRPr="00223378" w:rsidRDefault="00E50232" w:rsidP="00E50232">
            <w:pPr>
              <w:pStyle w:val="ListParagraph"/>
              <w:numPr>
                <w:ilvl w:val="0"/>
                <w:numId w:val="21"/>
              </w:numPr>
              <w:rPr>
                <w:rFonts w:ascii="Verdana" w:hAnsi="Verdana"/>
                <w:sz w:val="22"/>
                <w:szCs w:val="22"/>
              </w:rPr>
            </w:pPr>
            <w:r w:rsidRPr="00223378">
              <w:rPr>
                <w:rFonts w:ascii="Verdana" w:hAnsi="Verdana"/>
                <w:sz w:val="22"/>
                <w:szCs w:val="22"/>
              </w:rPr>
              <w:t>Management of homeless hostels.</w:t>
            </w:r>
          </w:p>
          <w:p w:rsidR="00E50232" w:rsidRPr="00223378" w:rsidRDefault="00E50232" w:rsidP="00AD276D">
            <w:pPr>
              <w:pStyle w:val="ListParagraph"/>
              <w:ind w:left="0"/>
              <w:rPr>
                <w:rFonts w:ascii="Verdana" w:hAnsi="Verdana"/>
                <w:sz w:val="22"/>
                <w:szCs w:val="22"/>
              </w:rPr>
            </w:pPr>
          </w:p>
        </w:tc>
      </w:tr>
      <w:tr w:rsidR="00E50232" w:rsidTr="00AD276D">
        <w:tc>
          <w:tcPr>
            <w:tcW w:w="2802" w:type="dxa"/>
            <w:shd w:val="clear" w:color="auto" w:fill="auto"/>
          </w:tcPr>
          <w:p w:rsidR="00E50232" w:rsidRPr="00223378" w:rsidRDefault="00E50232" w:rsidP="00AD276D">
            <w:pPr>
              <w:rPr>
                <w:rFonts w:ascii="Verdana" w:hAnsi="Verdana"/>
                <w:sz w:val="22"/>
                <w:szCs w:val="22"/>
              </w:rPr>
            </w:pPr>
            <w:r w:rsidRPr="00223378">
              <w:rPr>
                <w:rFonts w:ascii="Verdana" w:hAnsi="Verdana"/>
                <w:sz w:val="22"/>
                <w:szCs w:val="22"/>
              </w:rPr>
              <w:t>Communal Health &amp; Safety checks and maintenance</w:t>
            </w:r>
          </w:p>
        </w:tc>
        <w:tc>
          <w:tcPr>
            <w:tcW w:w="5916" w:type="dxa"/>
            <w:shd w:val="clear" w:color="auto" w:fill="auto"/>
          </w:tcPr>
          <w:p w:rsidR="00E50232" w:rsidRPr="00223378" w:rsidRDefault="00E50232" w:rsidP="00E50232">
            <w:pPr>
              <w:pStyle w:val="ListParagraph"/>
              <w:numPr>
                <w:ilvl w:val="0"/>
                <w:numId w:val="21"/>
              </w:numPr>
              <w:rPr>
                <w:rFonts w:ascii="Verdana" w:hAnsi="Verdana"/>
                <w:sz w:val="22"/>
                <w:szCs w:val="22"/>
              </w:rPr>
            </w:pPr>
            <w:r w:rsidRPr="00223378">
              <w:rPr>
                <w:rFonts w:ascii="Verdana" w:hAnsi="Verdana"/>
                <w:sz w:val="22"/>
                <w:szCs w:val="22"/>
              </w:rPr>
              <w:t xml:space="preserve">Providing, maintaining and renewing risk prevention and reduction systems in HRA blocks of flats, HRA grouped home schemes and HRA homeless hostels e.g. </w:t>
            </w:r>
          </w:p>
          <w:p w:rsidR="00E50232" w:rsidRPr="00223378" w:rsidRDefault="00E50232" w:rsidP="00E50232">
            <w:pPr>
              <w:pStyle w:val="ListParagraph"/>
              <w:numPr>
                <w:ilvl w:val="1"/>
                <w:numId w:val="21"/>
              </w:numPr>
              <w:rPr>
                <w:rFonts w:ascii="Verdana" w:hAnsi="Verdana"/>
                <w:sz w:val="22"/>
                <w:szCs w:val="22"/>
              </w:rPr>
            </w:pPr>
            <w:r w:rsidRPr="00223378">
              <w:rPr>
                <w:rFonts w:ascii="Verdana" w:hAnsi="Verdana"/>
                <w:sz w:val="22"/>
                <w:szCs w:val="22"/>
              </w:rPr>
              <w:t>communal fire detection/alarm systems;</w:t>
            </w:r>
          </w:p>
          <w:p w:rsidR="00E50232" w:rsidRPr="00223378" w:rsidRDefault="00E50232" w:rsidP="00E50232">
            <w:pPr>
              <w:pStyle w:val="ListParagraph"/>
              <w:numPr>
                <w:ilvl w:val="1"/>
                <w:numId w:val="21"/>
              </w:numPr>
              <w:rPr>
                <w:rFonts w:ascii="Verdana" w:hAnsi="Verdana"/>
                <w:sz w:val="22"/>
                <w:szCs w:val="22"/>
              </w:rPr>
            </w:pPr>
            <w:r w:rsidRPr="00223378">
              <w:rPr>
                <w:rFonts w:ascii="Verdana" w:hAnsi="Verdana"/>
                <w:sz w:val="22"/>
                <w:szCs w:val="22"/>
              </w:rPr>
              <w:t>communal fire extinguishing systems;</w:t>
            </w:r>
          </w:p>
          <w:p w:rsidR="00E50232" w:rsidRPr="00223378" w:rsidRDefault="00E50232" w:rsidP="00E50232">
            <w:pPr>
              <w:pStyle w:val="ListParagraph"/>
              <w:numPr>
                <w:ilvl w:val="1"/>
                <w:numId w:val="21"/>
              </w:numPr>
              <w:rPr>
                <w:rFonts w:ascii="Verdana" w:hAnsi="Verdana"/>
                <w:sz w:val="22"/>
                <w:szCs w:val="22"/>
              </w:rPr>
            </w:pPr>
            <w:r w:rsidRPr="00223378">
              <w:rPr>
                <w:rFonts w:ascii="Verdana" w:hAnsi="Verdana"/>
                <w:sz w:val="22"/>
                <w:szCs w:val="22"/>
              </w:rPr>
              <w:t>communal emergency lighting systems</w:t>
            </w:r>
          </w:p>
          <w:p w:rsidR="00E50232" w:rsidRPr="00223378" w:rsidRDefault="00E50232" w:rsidP="00E50232">
            <w:pPr>
              <w:pStyle w:val="ListParagraph"/>
              <w:numPr>
                <w:ilvl w:val="1"/>
                <w:numId w:val="21"/>
              </w:numPr>
              <w:rPr>
                <w:rFonts w:ascii="Verdana" w:hAnsi="Verdana"/>
                <w:sz w:val="22"/>
                <w:szCs w:val="22"/>
              </w:rPr>
            </w:pPr>
            <w:r w:rsidRPr="00223378">
              <w:rPr>
                <w:rFonts w:ascii="Verdana" w:hAnsi="Verdana"/>
                <w:sz w:val="22"/>
                <w:szCs w:val="22"/>
              </w:rPr>
              <w:t xml:space="preserve">communal water supply systems; </w:t>
            </w:r>
          </w:p>
          <w:p w:rsidR="00E50232" w:rsidRPr="00223378" w:rsidRDefault="00E50232" w:rsidP="00E50232">
            <w:pPr>
              <w:pStyle w:val="ListParagraph"/>
              <w:numPr>
                <w:ilvl w:val="1"/>
                <w:numId w:val="21"/>
              </w:numPr>
              <w:rPr>
                <w:rFonts w:ascii="Verdana" w:hAnsi="Verdana"/>
                <w:sz w:val="22"/>
                <w:szCs w:val="22"/>
              </w:rPr>
            </w:pPr>
            <w:r w:rsidRPr="00223378">
              <w:rPr>
                <w:rFonts w:ascii="Verdana" w:hAnsi="Verdana"/>
                <w:sz w:val="22"/>
                <w:szCs w:val="22"/>
              </w:rPr>
              <w:t xml:space="preserve">communal sewage treatment systems; </w:t>
            </w:r>
          </w:p>
          <w:p w:rsidR="00E50232" w:rsidRPr="00223378" w:rsidRDefault="00E50232" w:rsidP="00E50232">
            <w:pPr>
              <w:pStyle w:val="ListParagraph"/>
              <w:numPr>
                <w:ilvl w:val="1"/>
                <w:numId w:val="21"/>
              </w:numPr>
              <w:rPr>
                <w:rFonts w:ascii="Verdana" w:hAnsi="Verdana"/>
                <w:sz w:val="22"/>
                <w:szCs w:val="22"/>
              </w:rPr>
            </w:pPr>
            <w:r w:rsidRPr="00223378">
              <w:rPr>
                <w:rFonts w:ascii="Verdana" w:hAnsi="Verdana"/>
                <w:sz w:val="22"/>
                <w:szCs w:val="22"/>
              </w:rPr>
              <w:t xml:space="preserve">communal lifts; and </w:t>
            </w:r>
          </w:p>
          <w:p w:rsidR="00E50232" w:rsidRPr="00223378" w:rsidRDefault="00E50232" w:rsidP="00E50232">
            <w:pPr>
              <w:pStyle w:val="ListParagraph"/>
              <w:numPr>
                <w:ilvl w:val="0"/>
                <w:numId w:val="21"/>
              </w:numPr>
              <w:rPr>
                <w:rFonts w:ascii="Verdana" w:hAnsi="Verdana"/>
                <w:sz w:val="22"/>
                <w:szCs w:val="22"/>
              </w:rPr>
            </w:pPr>
            <w:r w:rsidRPr="00223378">
              <w:rPr>
                <w:rFonts w:ascii="Verdana" w:hAnsi="Verdana"/>
                <w:sz w:val="22"/>
                <w:szCs w:val="22"/>
              </w:rPr>
              <w:t>Periodic health &amp; safety checks of all such systems and communal areas e.g. for trip hazards; and their repair/maintenance and replacement to ensure public safety and legal compliance.</w:t>
            </w:r>
          </w:p>
          <w:p w:rsidR="00E50232" w:rsidRPr="00223378" w:rsidRDefault="00E50232" w:rsidP="00AD276D">
            <w:pPr>
              <w:rPr>
                <w:rFonts w:ascii="Verdana" w:hAnsi="Verdana"/>
                <w:sz w:val="22"/>
                <w:szCs w:val="22"/>
              </w:rPr>
            </w:pPr>
          </w:p>
        </w:tc>
      </w:tr>
      <w:tr w:rsidR="00E50232" w:rsidTr="00AD276D">
        <w:tc>
          <w:tcPr>
            <w:tcW w:w="2802" w:type="dxa"/>
            <w:shd w:val="clear" w:color="auto" w:fill="auto"/>
          </w:tcPr>
          <w:p w:rsidR="00E50232" w:rsidRPr="00223378" w:rsidRDefault="00E50232" w:rsidP="00AD276D">
            <w:pPr>
              <w:rPr>
                <w:rFonts w:ascii="Verdana" w:hAnsi="Verdana"/>
                <w:sz w:val="22"/>
                <w:szCs w:val="22"/>
              </w:rPr>
            </w:pPr>
            <w:r w:rsidRPr="00223378">
              <w:rPr>
                <w:rFonts w:ascii="Verdana" w:hAnsi="Verdana"/>
                <w:sz w:val="22"/>
                <w:szCs w:val="22"/>
              </w:rPr>
              <w:t>Communal TV/Internet reception and distribution systems</w:t>
            </w:r>
          </w:p>
        </w:tc>
        <w:tc>
          <w:tcPr>
            <w:tcW w:w="5916" w:type="dxa"/>
            <w:shd w:val="clear" w:color="auto" w:fill="auto"/>
          </w:tcPr>
          <w:p w:rsidR="00E50232" w:rsidRPr="00223378" w:rsidRDefault="00E50232" w:rsidP="00E50232">
            <w:pPr>
              <w:pStyle w:val="ListParagraph"/>
              <w:numPr>
                <w:ilvl w:val="0"/>
                <w:numId w:val="21"/>
              </w:numPr>
              <w:rPr>
                <w:rFonts w:ascii="Verdana" w:hAnsi="Verdana"/>
                <w:sz w:val="22"/>
                <w:szCs w:val="22"/>
              </w:rPr>
            </w:pPr>
            <w:r w:rsidRPr="00223378">
              <w:rPr>
                <w:rFonts w:ascii="Verdana" w:hAnsi="Verdana"/>
                <w:sz w:val="22"/>
                <w:szCs w:val="22"/>
              </w:rPr>
              <w:t>Providing, maintaining and renewing HRA provided communal TV aerials</w:t>
            </w:r>
            <w:proofErr w:type="gramStart"/>
            <w:r w:rsidRPr="00223378">
              <w:rPr>
                <w:rFonts w:ascii="Verdana" w:hAnsi="Verdana"/>
                <w:sz w:val="22"/>
                <w:szCs w:val="22"/>
              </w:rPr>
              <w:t>, ,</w:t>
            </w:r>
            <w:proofErr w:type="gramEnd"/>
            <w:r w:rsidRPr="00223378">
              <w:rPr>
                <w:rFonts w:ascii="Verdana" w:hAnsi="Verdana"/>
                <w:sz w:val="22"/>
                <w:szCs w:val="22"/>
              </w:rPr>
              <w:t xml:space="preserve"> broadband, distribution, wiring etc. in HRA blocks of flats, HRA grouped home schemes and HRA homeless hostels.</w:t>
            </w:r>
          </w:p>
          <w:p w:rsidR="00E50232" w:rsidRPr="00223378" w:rsidRDefault="00E50232" w:rsidP="00AD276D">
            <w:pPr>
              <w:rPr>
                <w:rFonts w:ascii="Verdana" w:hAnsi="Verdana"/>
                <w:sz w:val="22"/>
                <w:szCs w:val="22"/>
              </w:rPr>
            </w:pPr>
          </w:p>
        </w:tc>
      </w:tr>
      <w:tr w:rsidR="00E50232" w:rsidTr="00AD276D">
        <w:tc>
          <w:tcPr>
            <w:tcW w:w="2802" w:type="dxa"/>
            <w:shd w:val="clear" w:color="auto" w:fill="auto"/>
          </w:tcPr>
          <w:p w:rsidR="00E50232" w:rsidRPr="00223378" w:rsidRDefault="00E50232" w:rsidP="00AD276D">
            <w:pPr>
              <w:rPr>
                <w:rFonts w:ascii="Verdana" w:hAnsi="Verdana"/>
                <w:sz w:val="22"/>
                <w:szCs w:val="22"/>
              </w:rPr>
            </w:pPr>
            <w:r w:rsidRPr="00223378">
              <w:rPr>
                <w:rFonts w:ascii="Verdana" w:hAnsi="Verdana"/>
                <w:sz w:val="22"/>
                <w:szCs w:val="22"/>
              </w:rPr>
              <w:t>Communal Heating systems</w:t>
            </w:r>
          </w:p>
        </w:tc>
        <w:tc>
          <w:tcPr>
            <w:tcW w:w="5916" w:type="dxa"/>
            <w:shd w:val="clear" w:color="auto" w:fill="auto"/>
          </w:tcPr>
          <w:p w:rsidR="00E50232" w:rsidRPr="00223378" w:rsidRDefault="00E50232" w:rsidP="00E50232">
            <w:pPr>
              <w:pStyle w:val="ListParagraph"/>
              <w:numPr>
                <w:ilvl w:val="0"/>
                <w:numId w:val="21"/>
              </w:numPr>
              <w:rPr>
                <w:rFonts w:ascii="Verdana" w:hAnsi="Verdana"/>
                <w:sz w:val="22"/>
                <w:szCs w:val="22"/>
              </w:rPr>
            </w:pPr>
            <w:r w:rsidRPr="00223378">
              <w:rPr>
                <w:rFonts w:ascii="Verdana" w:hAnsi="Verdana"/>
                <w:sz w:val="22"/>
                <w:szCs w:val="22"/>
              </w:rPr>
              <w:t>Providing, maintaining and renewing mains gas, liquid petroleum gas and/or other non-electric fuel fed central heating systems serving communal areas of HRA blocks of flats, HRA grouped home schemes and HRA homeless hostels; and district heating system supplied to individual homes and</w:t>
            </w:r>
          </w:p>
          <w:p w:rsidR="00E50232" w:rsidRPr="00223378" w:rsidRDefault="00E50232" w:rsidP="00E50232">
            <w:pPr>
              <w:pStyle w:val="ListParagraph"/>
              <w:numPr>
                <w:ilvl w:val="0"/>
                <w:numId w:val="21"/>
              </w:numPr>
              <w:rPr>
                <w:rFonts w:ascii="Verdana" w:hAnsi="Verdana"/>
                <w:sz w:val="22"/>
                <w:szCs w:val="22"/>
              </w:rPr>
            </w:pPr>
            <w:r w:rsidRPr="00223378">
              <w:rPr>
                <w:rFonts w:ascii="Verdana" w:hAnsi="Verdana"/>
                <w:sz w:val="22"/>
                <w:szCs w:val="22"/>
              </w:rPr>
              <w:t>The cost of supplying the fuel to keep such systems working.</w:t>
            </w:r>
          </w:p>
          <w:p w:rsidR="00E50232" w:rsidRPr="00223378" w:rsidRDefault="00E50232" w:rsidP="00AD276D">
            <w:pPr>
              <w:pStyle w:val="ListParagraph"/>
              <w:ind w:left="360"/>
              <w:rPr>
                <w:rFonts w:ascii="Verdana" w:hAnsi="Verdana"/>
                <w:sz w:val="22"/>
                <w:szCs w:val="22"/>
              </w:rPr>
            </w:pPr>
          </w:p>
        </w:tc>
      </w:tr>
      <w:tr w:rsidR="00E50232" w:rsidTr="00AD276D">
        <w:tc>
          <w:tcPr>
            <w:tcW w:w="2802" w:type="dxa"/>
            <w:shd w:val="clear" w:color="auto" w:fill="auto"/>
          </w:tcPr>
          <w:p w:rsidR="00E50232" w:rsidRPr="00223378" w:rsidRDefault="00E50232" w:rsidP="00AD276D">
            <w:pPr>
              <w:rPr>
                <w:rFonts w:ascii="Verdana" w:hAnsi="Verdana"/>
                <w:sz w:val="22"/>
                <w:szCs w:val="22"/>
              </w:rPr>
            </w:pPr>
            <w:r w:rsidRPr="00223378">
              <w:rPr>
                <w:rFonts w:ascii="Verdana" w:hAnsi="Verdana"/>
                <w:sz w:val="22"/>
                <w:szCs w:val="22"/>
              </w:rPr>
              <w:t>Communal Laundry Facilities</w:t>
            </w:r>
          </w:p>
        </w:tc>
        <w:tc>
          <w:tcPr>
            <w:tcW w:w="5916" w:type="dxa"/>
            <w:shd w:val="clear" w:color="auto" w:fill="auto"/>
          </w:tcPr>
          <w:p w:rsidR="00E50232" w:rsidRPr="00223378" w:rsidRDefault="00E50232" w:rsidP="00E50232">
            <w:pPr>
              <w:pStyle w:val="ListParagraph"/>
              <w:numPr>
                <w:ilvl w:val="0"/>
                <w:numId w:val="21"/>
              </w:numPr>
              <w:rPr>
                <w:rFonts w:ascii="Verdana" w:hAnsi="Verdana"/>
                <w:sz w:val="22"/>
                <w:szCs w:val="22"/>
              </w:rPr>
            </w:pPr>
            <w:r w:rsidRPr="00223378">
              <w:rPr>
                <w:rFonts w:ascii="Verdana" w:hAnsi="Verdana"/>
                <w:sz w:val="22"/>
                <w:szCs w:val="22"/>
              </w:rPr>
              <w:t>Providing, maintaining and renewing communal laundry facilities for HRA blocks of flats, HRA grouped home schemes and HRA homeless hostels (please note that these are paid for every time they are used</w:t>
            </w:r>
            <w:r>
              <w:rPr>
                <w:rFonts w:ascii="Verdana" w:hAnsi="Verdana"/>
                <w:sz w:val="22"/>
                <w:szCs w:val="22"/>
              </w:rPr>
              <w:t xml:space="preserve"> to cover rental/depreciation charges</w:t>
            </w:r>
            <w:r w:rsidRPr="00223378">
              <w:rPr>
                <w:rFonts w:ascii="Verdana" w:hAnsi="Verdana"/>
                <w:sz w:val="22"/>
                <w:szCs w:val="22"/>
              </w:rPr>
              <w:t>).</w:t>
            </w:r>
          </w:p>
          <w:p w:rsidR="00E50232" w:rsidRPr="00223378" w:rsidRDefault="00E50232" w:rsidP="00AD276D">
            <w:pPr>
              <w:rPr>
                <w:rFonts w:ascii="Verdana" w:hAnsi="Verdana"/>
                <w:sz w:val="22"/>
                <w:szCs w:val="22"/>
              </w:rPr>
            </w:pPr>
            <w:r w:rsidRPr="00223378">
              <w:rPr>
                <w:rFonts w:ascii="Verdana" w:hAnsi="Verdana"/>
                <w:sz w:val="22"/>
                <w:szCs w:val="22"/>
              </w:rPr>
              <w:t xml:space="preserve"> </w:t>
            </w:r>
          </w:p>
        </w:tc>
      </w:tr>
      <w:tr w:rsidR="00E50232" w:rsidTr="00AD276D">
        <w:tc>
          <w:tcPr>
            <w:tcW w:w="2802" w:type="dxa"/>
            <w:shd w:val="clear" w:color="auto" w:fill="auto"/>
          </w:tcPr>
          <w:p w:rsidR="00E50232" w:rsidRPr="00223378" w:rsidRDefault="00E50232" w:rsidP="00AD276D">
            <w:pPr>
              <w:rPr>
                <w:rFonts w:ascii="Verdana" w:hAnsi="Verdana"/>
                <w:sz w:val="22"/>
                <w:szCs w:val="22"/>
              </w:rPr>
            </w:pPr>
            <w:r w:rsidRPr="00223378">
              <w:rPr>
                <w:rFonts w:ascii="Verdana" w:hAnsi="Verdana"/>
                <w:sz w:val="22"/>
                <w:szCs w:val="22"/>
              </w:rPr>
              <w:t>Sewage Treatment</w:t>
            </w:r>
          </w:p>
        </w:tc>
        <w:tc>
          <w:tcPr>
            <w:tcW w:w="5916" w:type="dxa"/>
            <w:shd w:val="clear" w:color="auto" w:fill="auto"/>
          </w:tcPr>
          <w:p w:rsidR="00E50232" w:rsidRDefault="00E50232" w:rsidP="00E50232">
            <w:pPr>
              <w:pStyle w:val="ListParagraph"/>
              <w:numPr>
                <w:ilvl w:val="0"/>
                <w:numId w:val="21"/>
              </w:numPr>
              <w:rPr>
                <w:rFonts w:ascii="Verdana" w:hAnsi="Verdana"/>
                <w:sz w:val="22"/>
                <w:szCs w:val="22"/>
              </w:rPr>
            </w:pPr>
            <w:r w:rsidRPr="00223378">
              <w:rPr>
                <w:rFonts w:ascii="Verdana" w:hAnsi="Verdana"/>
                <w:sz w:val="22"/>
                <w:szCs w:val="22"/>
              </w:rPr>
              <w:t>Providing, maintaining and renewing septic tanks and rural sewerage plants, including the removal and/or treatment of sewage.</w:t>
            </w:r>
            <w:r w:rsidRPr="00223378">
              <w:rPr>
                <w:rFonts w:ascii="Verdana" w:hAnsi="Verdana"/>
                <w:sz w:val="22"/>
                <w:szCs w:val="22"/>
              </w:rPr>
              <w:br/>
            </w:r>
          </w:p>
          <w:p w:rsidR="00E50232" w:rsidRDefault="00E50232" w:rsidP="00AD276D">
            <w:pPr>
              <w:pStyle w:val="ListParagraph"/>
              <w:rPr>
                <w:rFonts w:ascii="Verdana" w:hAnsi="Verdana"/>
                <w:sz w:val="22"/>
                <w:szCs w:val="22"/>
              </w:rPr>
            </w:pPr>
          </w:p>
          <w:p w:rsidR="00E50232" w:rsidRPr="0054422B" w:rsidRDefault="00E50232" w:rsidP="0054422B">
            <w:pPr>
              <w:rPr>
                <w:rFonts w:ascii="Verdana" w:hAnsi="Verdana"/>
                <w:sz w:val="22"/>
                <w:szCs w:val="22"/>
              </w:rPr>
            </w:pPr>
          </w:p>
        </w:tc>
      </w:tr>
      <w:tr w:rsidR="00E50232" w:rsidTr="00AD276D">
        <w:tc>
          <w:tcPr>
            <w:tcW w:w="2802" w:type="dxa"/>
            <w:shd w:val="clear" w:color="auto" w:fill="auto"/>
          </w:tcPr>
          <w:p w:rsidR="00E50232" w:rsidRPr="00223378" w:rsidRDefault="00E50232" w:rsidP="00AD276D">
            <w:pPr>
              <w:rPr>
                <w:rFonts w:ascii="Verdana" w:hAnsi="Verdana"/>
                <w:sz w:val="22"/>
                <w:szCs w:val="22"/>
              </w:rPr>
            </w:pPr>
            <w:r w:rsidRPr="00223378">
              <w:rPr>
                <w:rFonts w:ascii="Verdana" w:hAnsi="Verdana"/>
                <w:sz w:val="22"/>
                <w:szCs w:val="22"/>
              </w:rPr>
              <w:lastRenderedPageBreak/>
              <w:t>Water Charges</w:t>
            </w:r>
          </w:p>
        </w:tc>
        <w:tc>
          <w:tcPr>
            <w:tcW w:w="5916" w:type="dxa"/>
            <w:shd w:val="clear" w:color="auto" w:fill="auto"/>
          </w:tcPr>
          <w:p w:rsidR="00E50232" w:rsidRPr="00223378" w:rsidRDefault="00E50232" w:rsidP="00E50232">
            <w:pPr>
              <w:pStyle w:val="ListParagraph"/>
              <w:numPr>
                <w:ilvl w:val="0"/>
                <w:numId w:val="21"/>
              </w:numPr>
              <w:spacing w:after="240"/>
              <w:rPr>
                <w:rFonts w:ascii="Verdana" w:hAnsi="Verdana"/>
                <w:sz w:val="22"/>
                <w:szCs w:val="22"/>
              </w:rPr>
            </w:pPr>
            <w:r w:rsidRPr="00223378">
              <w:rPr>
                <w:rFonts w:ascii="Verdana" w:hAnsi="Verdana"/>
                <w:sz w:val="22"/>
                <w:szCs w:val="22"/>
              </w:rPr>
              <w:t>Providing, maintaining and renewing communal water service facilities e.g. communal rooms and communal toilets etc.; and</w:t>
            </w:r>
          </w:p>
          <w:p w:rsidR="00E50232" w:rsidRPr="00223378" w:rsidRDefault="00E50232" w:rsidP="00E50232">
            <w:pPr>
              <w:pStyle w:val="ListParagraph"/>
              <w:numPr>
                <w:ilvl w:val="0"/>
                <w:numId w:val="21"/>
              </w:numPr>
              <w:spacing w:after="240"/>
              <w:rPr>
                <w:rFonts w:ascii="Verdana" w:hAnsi="Verdana"/>
                <w:sz w:val="22"/>
                <w:szCs w:val="22"/>
              </w:rPr>
            </w:pPr>
            <w:r w:rsidRPr="00223378">
              <w:rPr>
                <w:rFonts w:ascii="Verdana" w:hAnsi="Verdana"/>
                <w:sz w:val="22"/>
                <w:szCs w:val="22"/>
              </w:rPr>
              <w:t>Providing, maintaining and renewing individual water services e.g. to some HRA blocks of flats, HRA grouped home schemes and HRA homeless hostel licensees; and</w:t>
            </w:r>
          </w:p>
          <w:p w:rsidR="00E50232" w:rsidRPr="00223378" w:rsidRDefault="00E50232" w:rsidP="00E50232">
            <w:pPr>
              <w:pStyle w:val="ListParagraph"/>
              <w:numPr>
                <w:ilvl w:val="0"/>
                <w:numId w:val="21"/>
              </w:numPr>
              <w:rPr>
                <w:rFonts w:ascii="Verdana" w:hAnsi="Verdana"/>
                <w:sz w:val="22"/>
                <w:szCs w:val="22"/>
              </w:rPr>
            </w:pPr>
            <w:r w:rsidRPr="00223378">
              <w:rPr>
                <w:rFonts w:ascii="Verdana" w:hAnsi="Verdana"/>
                <w:sz w:val="22"/>
                <w:szCs w:val="22"/>
              </w:rPr>
              <w:t>The cost of supplying water to the above residents.</w:t>
            </w:r>
            <w:r>
              <w:rPr>
                <w:rFonts w:ascii="Verdana" w:hAnsi="Verdana"/>
                <w:sz w:val="22"/>
                <w:szCs w:val="22"/>
              </w:rPr>
              <w:t xml:space="preserve"> (These costs are not collected on behalf of any water supply company)</w:t>
            </w:r>
          </w:p>
          <w:p w:rsidR="00E50232" w:rsidRPr="00223378" w:rsidRDefault="00E50232" w:rsidP="00AD276D">
            <w:pPr>
              <w:pStyle w:val="ListParagraph"/>
              <w:ind w:left="360"/>
              <w:rPr>
                <w:rFonts w:ascii="Verdana" w:hAnsi="Verdana"/>
                <w:sz w:val="22"/>
                <w:szCs w:val="22"/>
              </w:rPr>
            </w:pPr>
          </w:p>
        </w:tc>
      </w:tr>
      <w:tr w:rsidR="00E50232" w:rsidTr="00AD276D">
        <w:tc>
          <w:tcPr>
            <w:tcW w:w="2802" w:type="dxa"/>
            <w:shd w:val="clear" w:color="auto" w:fill="auto"/>
          </w:tcPr>
          <w:p w:rsidR="00E50232" w:rsidRPr="00223378" w:rsidRDefault="00E50232" w:rsidP="00AD276D">
            <w:pPr>
              <w:rPr>
                <w:rFonts w:ascii="Verdana" w:hAnsi="Verdana"/>
                <w:sz w:val="22"/>
                <w:szCs w:val="22"/>
              </w:rPr>
            </w:pPr>
            <w:r w:rsidRPr="00223378">
              <w:rPr>
                <w:rFonts w:ascii="Verdana" w:hAnsi="Verdana"/>
                <w:sz w:val="22"/>
                <w:szCs w:val="22"/>
              </w:rPr>
              <w:t>Furniture &amp; equipment</w:t>
            </w:r>
          </w:p>
        </w:tc>
        <w:tc>
          <w:tcPr>
            <w:tcW w:w="5916" w:type="dxa"/>
            <w:shd w:val="clear" w:color="auto" w:fill="auto"/>
          </w:tcPr>
          <w:p w:rsidR="00E50232" w:rsidRPr="00223378" w:rsidRDefault="00E50232" w:rsidP="00E50232">
            <w:pPr>
              <w:pStyle w:val="ListParagraph"/>
              <w:numPr>
                <w:ilvl w:val="0"/>
                <w:numId w:val="21"/>
              </w:numPr>
              <w:spacing w:after="240"/>
              <w:rPr>
                <w:rFonts w:ascii="Verdana" w:hAnsi="Verdana"/>
                <w:sz w:val="22"/>
                <w:szCs w:val="22"/>
              </w:rPr>
            </w:pPr>
            <w:r w:rsidRPr="00223378">
              <w:rPr>
                <w:rFonts w:ascii="Verdana" w:hAnsi="Verdana"/>
                <w:sz w:val="22"/>
                <w:szCs w:val="22"/>
              </w:rPr>
              <w:t>Providing, maintaining and renewing communal furniture and equipment at HRA grouped home schemes and HRA homeless hostels; and</w:t>
            </w:r>
          </w:p>
          <w:p w:rsidR="00E50232" w:rsidRPr="00223378" w:rsidRDefault="00E50232" w:rsidP="00E50232">
            <w:pPr>
              <w:pStyle w:val="ListParagraph"/>
              <w:numPr>
                <w:ilvl w:val="0"/>
                <w:numId w:val="21"/>
              </w:numPr>
              <w:spacing w:after="240"/>
              <w:rPr>
                <w:rFonts w:ascii="Verdana" w:hAnsi="Verdana"/>
                <w:sz w:val="22"/>
                <w:szCs w:val="22"/>
              </w:rPr>
            </w:pPr>
            <w:r w:rsidRPr="00223378">
              <w:rPr>
                <w:rFonts w:ascii="Verdana" w:hAnsi="Verdana"/>
                <w:sz w:val="22"/>
                <w:szCs w:val="22"/>
              </w:rPr>
              <w:t>Individual furniture for residents of, for example</w:t>
            </w:r>
            <w:r>
              <w:rPr>
                <w:rFonts w:ascii="Verdana" w:hAnsi="Verdana"/>
                <w:sz w:val="22"/>
                <w:szCs w:val="22"/>
              </w:rPr>
              <w:t xml:space="preserve">, </w:t>
            </w:r>
            <w:r w:rsidRPr="00223378">
              <w:rPr>
                <w:rFonts w:ascii="Verdana" w:hAnsi="Verdana"/>
                <w:sz w:val="22"/>
                <w:szCs w:val="22"/>
              </w:rPr>
              <w:t>HRA homeless hostels.</w:t>
            </w:r>
          </w:p>
        </w:tc>
      </w:tr>
      <w:tr w:rsidR="00E50232" w:rsidTr="00AD276D">
        <w:tc>
          <w:tcPr>
            <w:tcW w:w="2802" w:type="dxa"/>
            <w:shd w:val="clear" w:color="auto" w:fill="auto"/>
          </w:tcPr>
          <w:p w:rsidR="00E50232" w:rsidRPr="00223378" w:rsidRDefault="00E50232" w:rsidP="00AD276D">
            <w:pPr>
              <w:rPr>
                <w:rFonts w:ascii="Verdana" w:hAnsi="Verdana"/>
                <w:sz w:val="22"/>
                <w:szCs w:val="22"/>
              </w:rPr>
            </w:pPr>
            <w:r w:rsidRPr="00223378">
              <w:rPr>
                <w:rFonts w:ascii="Verdana" w:hAnsi="Verdana"/>
                <w:sz w:val="22"/>
                <w:szCs w:val="22"/>
              </w:rPr>
              <w:t>Communal Flooring</w:t>
            </w:r>
          </w:p>
        </w:tc>
        <w:tc>
          <w:tcPr>
            <w:tcW w:w="5916" w:type="dxa"/>
            <w:shd w:val="clear" w:color="auto" w:fill="auto"/>
          </w:tcPr>
          <w:p w:rsidR="00E50232" w:rsidRPr="00223378" w:rsidRDefault="00E50232" w:rsidP="00E50232">
            <w:pPr>
              <w:pStyle w:val="ListParagraph"/>
              <w:numPr>
                <w:ilvl w:val="0"/>
                <w:numId w:val="21"/>
              </w:numPr>
              <w:spacing w:after="240"/>
              <w:rPr>
                <w:rFonts w:ascii="Verdana" w:hAnsi="Verdana"/>
                <w:sz w:val="22"/>
                <w:szCs w:val="22"/>
              </w:rPr>
            </w:pPr>
            <w:r w:rsidRPr="00223378">
              <w:rPr>
                <w:rFonts w:ascii="Verdana" w:hAnsi="Verdana"/>
                <w:sz w:val="22"/>
                <w:szCs w:val="22"/>
              </w:rPr>
              <w:t>Providing, maintaining and renewing communal flooring in HRA blocks of flats, HRA group home schemes and HRA homeless hostels; and</w:t>
            </w:r>
          </w:p>
          <w:p w:rsidR="00E50232" w:rsidRPr="00223378" w:rsidRDefault="00E50232" w:rsidP="00E50232">
            <w:pPr>
              <w:pStyle w:val="ListParagraph"/>
              <w:numPr>
                <w:ilvl w:val="0"/>
                <w:numId w:val="21"/>
              </w:numPr>
              <w:spacing w:after="240"/>
              <w:rPr>
                <w:rFonts w:ascii="Verdana" w:hAnsi="Verdana"/>
                <w:sz w:val="22"/>
                <w:szCs w:val="22"/>
              </w:rPr>
            </w:pPr>
            <w:r w:rsidRPr="00223378">
              <w:rPr>
                <w:rFonts w:ascii="Verdana" w:hAnsi="Verdana"/>
                <w:sz w:val="22"/>
                <w:szCs w:val="22"/>
              </w:rPr>
              <w:t>Individual flooring for residents of, for example, HRA homeless hostels or other temporary accommodation for the homeless.</w:t>
            </w:r>
          </w:p>
        </w:tc>
      </w:tr>
      <w:tr w:rsidR="00E50232" w:rsidTr="00AD276D">
        <w:tc>
          <w:tcPr>
            <w:tcW w:w="2802" w:type="dxa"/>
            <w:shd w:val="clear" w:color="auto" w:fill="auto"/>
          </w:tcPr>
          <w:p w:rsidR="00E50232" w:rsidRPr="00223378" w:rsidRDefault="00E50232" w:rsidP="00AD276D">
            <w:pPr>
              <w:rPr>
                <w:rFonts w:ascii="Verdana" w:hAnsi="Verdana"/>
                <w:sz w:val="22"/>
                <w:szCs w:val="22"/>
              </w:rPr>
            </w:pPr>
            <w:r w:rsidRPr="00223378">
              <w:rPr>
                <w:rFonts w:ascii="Verdana" w:hAnsi="Verdana"/>
                <w:sz w:val="22"/>
                <w:szCs w:val="22"/>
              </w:rPr>
              <w:t>Communal Refuse &amp; sanitary Bins</w:t>
            </w:r>
          </w:p>
        </w:tc>
        <w:tc>
          <w:tcPr>
            <w:tcW w:w="5916" w:type="dxa"/>
            <w:shd w:val="clear" w:color="auto" w:fill="auto"/>
          </w:tcPr>
          <w:p w:rsidR="00E50232" w:rsidRPr="00223378" w:rsidRDefault="00E50232" w:rsidP="00E50232">
            <w:pPr>
              <w:pStyle w:val="ListParagraph"/>
              <w:numPr>
                <w:ilvl w:val="0"/>
                <w:numId w:val="21"/>
              </w:numPr>
              <w:spacing w:after="240"/>
              <w:rPr>
                <w:rFonts w:ascii="Verdana" w:hAnsi="Verdana"/>
                <w:sz w:val="22"/>
                <w:szCs w:val="22"/>
              </w:rPr>
            </w:pPr>
            <w:r w:rsidRPr="00223378">
              <w:rPr>
                <w:rFonts w:ascii="Verdana" w:hAnsi="Verdana"/>
                <w:sz w:val="22"/>
                <w:szCs w:val="22"/>
              </w:rPr>
              <w:t>Providing, maintaining and renewing communal refuse and sanitary bins for HRA blocks of flats, HRA group home schemes and HRA homeless hostels; and</w:t>
            </w:r>
          </w:p>
          <w:p w:rsidR="00E50232" w:rsidRPr="00223378" w:rsidRDefault="00E50232" w:rsidP="00E50232">
            <w:pPr>
              <w:pStyle w:val="ListParagraph"/>
              <w:numPr>
                <w:ilvl w:val="0"/>
                <w:numId w:val="21"/>
              </w:numPr>
              <w:spacing w:after="240"/>
              <w:rPr>
                <w:rFonts w:ascii="Verdana" w:hAnsi="Verdana"/>
                <w:sz w:val="22"/>
                <w:szCs w:val="22"/>
              </w:rPr>
            </w:pPr>
            <w:r w:rsidRPr="00223378">
              <w:rPr>
                <w:rFonts w:ascii="Verdana" w:hAnsi="Verdana"/>
                <w:sz w:val="22"/>
                <w:szCs w:val="22"/>
              </w:rPr>
              <w:t>Removal of the contents of sanitary bins at the</w:t>
            </w:r>
            <w:r>
              <w:rPr>
                <w:rFonts w:ascii="Verdana" w:hAnsi="Verdana"/>
                <w:sz w:val="22"/>
                <w:szCs w:val="22"/>
              </w:rPr>
              <w:t>se</w:t>
            </w:r>
            <w:r w:rsidRPr="00223378">
              <w:rPr>
                <w:rFonts w:ascii="Verdana" w:hAnsi="Verdana"/>
                <w:sz w:val="22"/>
                <w:szCs w:val="22"/>
              </w:rPr>
              <w:t xml:space="preserve"> </w:t>
            </w:r>
            <w:r w:rsidRPr="00454595">
              <w:rPr>
                <w:rFonts w:ascii="Verdana" w:hAnsi="Verdana"/>
                <w:sz w:val="22"/>
                <w:szCs w:val="22"/>
              </w:rPr>
              <w:t>schemes.</w:t>
            </w:r>
          </w:p>
        </w:tc>
      </w:tr>
      <w:tr w:rsidR="00E50232" w:rsidTr="00AD276D">
        <w:tc>
          <w:tcPr>
            <w:tcW w:w="2802" w:type="dxa"/>
            <w:shd w:val="clear" w:color="auto" w:fill="auto"/>
          </w:tcPr>
          <w:p w:rsidR="00E50232" w:rsidRPr="00223378" w:rsidRDefault="00E50232" w:rsidP="00AD276D">
            <w:pPr>
              <w:rPr>
                <w:rFonts w:ascii="Verdana" w:hAnsi="Verdana"/>
                <w:sz w:val="22"/>
                <w:szCs w:val="22"/>
              </w:rPr>
            </w:pPr>
            <w:r w:rsidRPr="00223378">
              <w:rPr>
                <w:rFonts w:ascii="Verdana" w:hAnsi="Verdana"/>
                <w:sz w:val="22"/>
                <w:szCs w:val="22"/>
              </w:rPr>
              <w:t>Management / Administration Costs associated with service charges</w:t>
            </w:r>
          </w:p>
        </w:tc>
        <w:tc>
          <w:tcPr>
            <w:tcW w:w="5916" w:type="dxa"/>
            <w:shd w:val="clear" w:color="auto" w:fill="auto"/>
          </w:tcPr>
          <w:p w:rsidR="00E50232" w:rsidRPr="00223378" w:rsidRDefault="00E50232" w:rsidP="00E50232">
            <w:pPr>
              <w:pStyle w:val="ListParagraph"/>
              <w:numPr>
                <w:ilvl w:val="0"/>
                <w:numId w:val="21"/>
              </w:numPr>
              <w:spacing w:after="240"/>
              <w:rPr>
                <w:rFonts w:ascii="Verdana" w:hAnsi="Verdana"/>
                <w:sz w:val="22"/>
                <w:szCs w:val="22"/>
              </w:rPr>
            </w:pPr>
            <w:r w:rsidRPr="00223378">
              <w:rPr>
                <w:rFonts w:ascii="Verdana" w:hAnsi="Verdana"/>
                <w:sz w:val="22"/>
                <w:szCs w:val="22"/>
              </w:rPr>
              <w:t>Setting and collection of service charges</w:t>
            </w:r>
          </w:p>
          <w:p w:rsidR="00E50232" w:rsidRPr="00223378" w:rsidRDefault="00E50232" w:rsidP="00E50232">
            <w:pPr>
              <w:pStyle w:val="ListParagraph"/>
              <w:numPr>
                <w:ilvl w:val="0"/>
                <w:numId w:val="21"/>
              </w:numPr>
              <w:spacing w:after="240"/>
              <w:rPr>
                <w:rFonts w:ascii="Verdana" w:hAnsi="Verdana"/>
                <w:sz w:val="22"/>
                <w:szCs w:val="22"/>
              </w:rPr>
            </w:pPr>
            <w:r w:rsidRPr="00223378">
              <w:rPr>
                <w:rFonts w:ascii="Verdana" w:hAnsi="Verdana"/>
                <w:sz w:val="22"/>
                <w:szCs w:val="22"/>
              </w:rPr>
              <w:t>Consultation on and explanation of service charges</w:t>
            </w:r>
          </w:p>
          <w:p w:rsidR="00E50232" w:rsidRPr="00223378" w:rsidRDefault="00E50232" w:rsidP="00E50232">
            <w:pPr>
              <w:pStyle w:val="ListParagraph"/>
              <w:numPr>
                <w:ilvl w:val="0"/>
                <w:numId w:val="21"/>
              </w:numPr>
              <w:spacing w:after="240"/>
              <w:rPr>
                <w:rFonts w:ascii="Verdana" w:hAnsi="Verdana"/>
                <w:sz w:val="22"/>
                <w:szCs w:val="22"/>
              </w:rPr>
            </w:pPr>
            <w:r w:rsidRPr="00223378">
              <w:rPr>
                <w:rFonts w:ascii="Verdana" w:hAnsi="Verdana"/>
                <w:sz w:val="22"/>
                <w:szCs w:val="22"/>
              </w:rPr>
              <w:t>Professional costs of provision, maintenance and renewal of common areas e.g. architects, surveyors, clerks of works, lawyers etc.</w:t>
            </w:r>
          </w:p>
        </w:tc>
      </w:tr>
    </w:tbl>
    <w:p w:rsidR="00E50232" w:rsidRDefault="00E50232" w:rsidP="00E50232">
      <w:pPr>
        <w:rPr>
          <w:rFonts w:ascii="Verdana" w:hAnsi="Verdana"/>
          <w:sz w:val="22"/>
          <w:szCs w:val="22"/>
        </w:rPr>
      </w:pPr>
    </w:p>
    <w:p w:rsidR="00E50232" w:rsidRDefault="00E50232" w:rsidP="00E50232">
      <w:pPr>
        <w:rPr>
          <w:rFonts w:ascii="Verdana" w:hAnsi="Verdana"/>
          <w:sz w:val="22"/>
          <w:szCs w:val="22"/>
        </w:rPr>
      </w:pPr>
      <w:r>
        <w:rPr>
          <w:rFonts w:ascii="Verdana" w:hAnsi="Verdana"/>
          <w:sz w:val="22"/>
          <w:szCs w:val="22"/>
        </w:rPr>
        <w:t>Note: Not all services are provided to all tenants, leaseholders, licensees or RTB freeholders and their successors in title. Their individual service charges will depend on where they are located and what communal facilities and services they benefit from.</w:t>
      </w:r>
    </w:p>
    <w:p w:rsidR="007D0B65" w:rsidRDefault="007D0B65" w:rsidP="007D0B65">
      <w:pPr>
        <w:rPr>
          <w:rFonts w:ascii="Verdana" w:hAnsi="Verdana"/>
          <w:b/>
          <w:sz w:val="22"/>
          <w:szCs w:val="22"/>
        </w:rPr>
      </w:pPr>
    </w:p>
    <w:p w:rsidR="00E50232" w:rsidRDefault="00E50232" w:rsidP="007D0B65">
      <w:pPr>
        <w:rPr>
          <w:rFonts w:ascii="Verdana" w:hAnsi="Verdana"/>
          <w:b/>
          <w:sz w:val="22"/>
          <w:szCs w:val="22"/>
        </w:rPr>
      </w:pPr>
    </w:p>
    <w:p w:rsidR="00E50232" w:rsidRDefault="00E50232" w:rsidP="007D0B65">
      <w:pPr>
        <w:rPr>
          <w:rFonts w:ascii="Verdana" w:hAnsi="Verdana"/>
          <w:b/>
          <w:sz w:val="22"/>
          <w:szCs w:val="22"/>
        </w:rPr>
      </w:pPr>
    </w:p>
    <w:p w:rsidR="00E50232" w:rsidRDefault="00E50232" w:rsidP="007D0B65">
      <w:pPr>
        <w:rPr>
          <w:rFonts w:ascii="Verdana" w:hAnsi="Verdana"/>
          <w:b/>
          <w:sz w:val="22"/>
          <w:szCs w:val="22"/>
        </w:rPr>
      </w:pPr>
    </w:p>
    <w:p w:rsidR="00E50232" w:rsidRDefault="00E50232" w:rsidP="007D0B65">
      <w:pPr>
        <w:rPr>
          <w:rFonts w:ascii="Verdana" w:hAnsi="Verdana"/>
          <w:b/>
          <w:sz w:val="22"/>
          <w:szCs w:val="22"/>
        </w:rPr>
      </w:pPr>
    </w:p>
    <w:p w:rsidR="0054422B" w:rsidRDefault="0054422B" w:rsidP="00E50232">
      <w:pPr>
        <w:rPr>
          <w:rFonts w:ascii="Verdana" w:hAnsi="Verdana"/>
          <w:b/>
          <w:sz w:val="22"/>
          <w:szCs w:val="22"/>
        </w:rPr>
      </w:pPr>
    </w:p>
    <w:p w:rsidR="0054422B" w:rsidRDefault="0054422B" w:rsidP="00E50232">
      <w:pPr>
        <w:rPr>
          <w:rFonts w:ascii="Verdana" w:hAnsi="Verdana"/>
          <w:b/>
          <w:sz w:val="22"/>
          <w:szCs w:val="22"/>
        </w:rPr>
      </w:pPr>
    </w:p>
    <w:p w:rsidR="00E50232" w:rsidRPr="00C128F0" w:rsidRDefault="00E50232" w:rsidP="00E50232">
      <w:pPr>
        <w:rPr>
          <w:rFonts w:ascii="Verdana" w:hAnsi="Verdana"/>
          <w:b/>
          <w:sz w:val="22"/>
          <w:szCs w:val="22"/>
        </w:rPr>
      </w:pPr>
      <w:r w:rsidRPr="00C128F0">
        <w:rPr>
          <w:rFonts w:ascii="Verdana" w:hAnsi="Verdana"/>
          <w:b/>
          <w:sz w:val="22"/>
          <w:szCs w:val="22"/>
        </w:rPr>
        <w:lastRenderedPageBreak/>
        <w:t>Service charge</w:t>
      </w:r>
      <w:r>
        <w:rPr>
          <w:rFonts w:ascii="Verdana" w:hAnsi="Verdana"/>
          <w:b/>
          <w:sz w:val="22"/>
          <w:szCs w:val="22"/>
        </w:rPr>
        <w:t xml:space="preserve"> setting</w:t>
      </w:r>
    </w:p>
    <w:p w:rsidR="00E50232" w:rsidRDefault="00E50232" w:rsidP="00E50232">
      <w:pPr>
        <w:rPr>
          <w:rFonts w:ascii="Verdana" w:hAnsi="Verdana"/>
          <w:sz w:val="22"/>
          <w:szCs w:val="22"/>
        </w:rPr>
      </w:pPr>
    </w:p>
    <w:p w:rsidR="00E50232" w:rsidRPr="005653F9" w:rsidRDefault="00E50232" w:rsidP="00E50232">
      <w:pPr>
        <w:rPr>
          <w:rFonts w:ascii="Verdana" w:hAnsi="Verdana"/>
          <w:sz w:val="22"/>
          <w:szCs w:val="22"/>
        </w:rPr>
      </w:pPr>
      <w:r>
        <w:rPr>
          <w:rFonts w:ascii="Verdana" w:hAnsi="Verdana"/>
          <w:sz w:val="22"/>
          <w:szCs w:val="22"/>
        </w:rPr>
        <w:t>The service charge payable by a tenant, leaseholder, licensee or RTB freeholder will be in accordance with conditions set out in their tenancy agreement, lease, license or RTB conveyance.</w:t>
      </w:r>
    </w:p>
    <w:p w:rsidR="00E50232" w:rsidRDefault="00E50232" w:rsidP="00E50232">
      <w:pPr>
        <w:pStyle w:val="BasicParagraph"/>
        <w:tabs>
          <w:tab w:val="left" w:pos="260"/>
          <w:tab w:val="left" w:pos="860"/>
        </w:tabs>
        <w:suppressAutoHyphens/>
        <w:spacing w:line="240" w:lineRule="auto"/>
        <w:rPr>
          <w:rFonts w:ascii="Verdana" w:hAnsi="Verdana" w:cs="Times New Roman"/>
          <w:color w:val="auto"/>
          <w:szCs w:val="22"/>
        </w:rPr>
      </w:pPr>
    </w:p>
    <w:p w:rsidR="00E50232" w:rsidRDefault="00E50232" w:rsidP="00E50232">
      <w:pPr>
        <w:pStyle w:val="BasicParagraph"/>
        <w:tabs>
          <w:tab w:val="left" w:pos="260"/>
          <w:tab w:val="left" w:pos="860"/>
        </w:tabs>
        <w:suppressAutoHyphens/>
        <w:spacing w:line="240" w:lineRule="auto"/>
        <w:rPr>
          <w:rFonts w:ascii="Verdana" w:hAnsi="Verdana" w:cs="Times New Roman"/>
          <w:color w:val="auto"/>
          <w:szCs w:val="22"/>
        </w:rPr>
      </w:pPr>
      <w:r>
        <w:rPr>
          <w:rFonts w:ascii="Verdana" w:hAnsi="Verdana" w:cs="Times New Roman"/>
          <w:color w:val="auto"/>
          <w:szCs w:val="22"/>
        </w:rPr>
        <w:t xml:space="preserve">The relevant costs will be the actual costs already incurred by the Council or the estimated costs due to be incurred by the Council in the future, plus reasonable management / administration costs currently set at 10% of the overall service charge. </w:t>
      </w:r>
    </w:p>
    <w:p w:rsidR="00E50232" w:rsidRDefault="00E50232" w:rsidP="00E50232">
      <w:pPr>
        <w:pStyle w:val="BasicParagraph"/>
        <w:tabs>
          <w:tab w:val="left" w:pos="260"/>
          <w:tab w:val="left" w:pos="860"/>
        </w:tabs>
        <w:suppressAutoHyphens/>
        <w:spacing w:line="240" w:lineRule="auto"/>
        <w:rPr>
          <w:rFonts w:ascii="Verdana" w:hAnsi="Verdana" w:cs="Times New Roman"/>
          <w:color w:val="auto"/>
          <w:szCs w:val="22"/>
        </w:rPr>
      </w:pPr>
    </w:p>
    <w:p w:rsidR="00E50232" w:rsidRDefault="00E50232" w:rsidP="00E50232">
      <w:pPr>
        <w:pStyle w:val="BasicParagraph"/>
        <w:tabs>
          <w:tab w:val="left" w:pos="260"/>
          <w:tab w:val="left" w:pos="860"/>
        </w:tabs>
        <w:suppressAutoHyphens/>
        <w:spacing w:line="240" w:lineRule="auto"/>
        <w:rPr>
          <w:rFonts w:ascii="Verdana" w:hAnsi="Verdana" w:cs="Times New Roman"/>
          <w:color w:val="auto"/>
          <w:szCs w:val="22"/>
        </w:rPr>
      </w:pPr>
      <w:r>
        <w:rPr>
          <w:rFonts w:ascii="Verdana" w:hAnsi="Verdana" w:cs="Times New Roman"/>
          <w:color w:val="auto"/>
          <w:szCs w:val="22"/>
        </w:rPr>
        <w:t>Costs will normally be assessed annually and recommendations will be made to the Council on what levels of service charge are to be set for the following financial year. The Council will amend and/or approve the service charges in its annual budget setting meeting and the new charges will normally take effect from April each year.</w:t>
      </w:r>
    </w:p>
    <w:p w:rsidR="00E50232" w:rsidRDefault="00E50232" w:rsidP="00E50232">
      <w:pPr>
        <w:pStyle w:val="BasicParagraph"/>
        <w:tabs>
          <w:tab w:val="left" w:pos="860"/>
        </w:tabs>
        <w:rPr>
          <w:rFonts w:ascii="Verdana" w:hAnsi="Verdana" w:cs="Times New Roman"/>
          <w:color w:val="auto"/>
          <w:szCs w:val="22"/>
        </w:rPr>
      </w:pPr>
      <w:r>
        <w:rPr>
          <w:rFonts w:ascii="Verdana" w:hAnsi="Verdana" w:cs="Times New Roman"/>
          <w:color w:val="auto"/>
          <w:szCs w:val="22"/>
        </w:rPr>
        <w:tab/>
      </w:r>
    </w:p>
    <w:p w:rsidR="00E50232" w:rsidRDefault="00E50232" w:rsidP="00E50232">
      <w:pPr>
        <w:pStyle w:val="BasicParagraph"/>
        <w:tabs>
          <w:tab w:val="left" w:pos="260"/>
          <w:tab w:val="left" w:pos="860"/>
        </w:tabs>
        <w:suppressAutoHyphens/>
        <w:spacing w:line="240" w:lineRule="auto"/>
        <w:rPr>
          <w:rFonts w:ascii="Verdana" w:hAnsi="Verdana" w:cs="Times New Roman"/>
          <w:color w:val="auto"/>
          <w:szCs w:val="22"/>
        </w:rPr>
      </w:pPr>
      <w:r w:rsidRPr="00F4655F">
        <w:rPr>
          <w:rFonts w:ascii="Verdana" w:hAnsi="Verdana" w:cs="Times New Roman"/>
          <w:color w:val="auto"/>
          <w:szCs w:val="22"/>
        </w:rPr>
        <w:t>We will normally carry forward the difference between the amount incurred and the amount paid each year and will certify the difference in accounts to our service charge payers annually.</w:t>
      </w:r>
    </w:p>
    <w:p w:rsidR="00E50232" w:rsidRDefault="00E50232" w:rsidP="00E50232">
      <w:pPr>
        <w:pStyle w:val="BasicParagraph"/>
        <w:tabs>
          <w:tab w:val="left" w:pos="260"/>
          <w:tab w:val="left" w:pos="860"/>
        </w:tabs>
        <w:suppressAutoHyphens/>
        <w:spacing w:line="240" w:lineRule="auto"/>
        <w:rPr>
          <w:rFonts w:ascii="Verdana" w:hAnsi="Verdana" w:cs="Times New Roman"/>
          <w:color w:val="auto"/>
          <w:szCs w:val="22"/>
        </w:rPr>
      </w:pPr>
    </w:p>
    <w:p w:rsidR="00E50232" w:rsidRDefault="00E50232" w:rsidP="00E50232">
      <w:pPr>
        <w:pStyle w:val="BasicParagraph"/>
        <w:tabs>
          <w:tab w:val="left" w:pos="260"/>
          <w:tab w:val="left" w:pos="860"/>
        </w:tabs>
        <w:suppressAutoHyphens/>
        <w:spacing w:line="240" w:lineRule="auto"/>
        <w:rPr>
          <w:rFonts w:ascii="Verdana" w:hAnsi="Verdana" w:cs="Times New Roman"/>
          <w:color w:val="auto"/>
          <w:szCs w:val="22"/>
        </w:rPr>
      </w:pPr>
      <w:r>
        <w:rPr>
          <w:rFonts w:ascii="Verdana" w:hAnsi="Verdana" w:cs="Times New Roman"/>
          <w:color w:val="auto"/>
          <w:szCs w:val="22"/>
        </w:rPr>
        <w:t>In exceptional circumstances e.g. significant changes in costs beyond our control; we reserve the right to increase service charges more frequently.</w:t>
      </w:r>
    </w:p>
    <w:p w:rsidR="00E50232" w:rsidRDefault="00E50232" w:rsidP="00E50232">
      <w:pPr>
        <w:pStyle w:val="BasicParagraph"/>
        <w:tabs>
          <w:tab w:val="left" w:pos="260"/>
          <w:tab w:val="left" w:pos="860"/>
        </w:tabs>
        <w:suppressAutoHyphens/>
        <w:spacing w:line="240" w:lineRule="auto"/>
        <w:rPr>
          <w:rFonts w:ascii="Verdana" w:hAnsi="Verdana" w:cs="Times New Roman"/>
          <w:b/>
          <w:color w:val="auto"/>
          <w:szCs w:val="22"/>
        </w:rPr>
      </w:pPr>
    </w:p>
    <w:p w:rsidR="00E50232" w:rsidRPr="00F4655F" w:rsidRDefault="00E50232" w:rsidP="00E50232">
      <w:pPr>
        <w:pStyle w:val="BasicParagraph"/>
        <w:tabs>
          <w:tab w:val="left" w:pos="260"/>
          <w:tab w:val="left" w:pos="860"/>
        </w:tabs>
        <w:suppressAutoHyphens/>
        <w:spacing w:line="240" w:lineRule="auto"/>
        <w:rPr>
          <w:rFonts w:ascii="Verdana" w:hAnsi="Verdana" w:cs="Times New Roman"/>
          <w:b/>
          <w:color w:val="auto"/>
          <w:szCs w:val="22"/>
        </w:rPr>
      </w:pPr>
      <w:r w:rsidRPr="00F4655F">
        <w:rPr>
          <w:rFonts w:ascii="Verdana" w:hAnsi="Verdana" w:cs="Times New Roman"/>
          <w:b/>
          <w:color w:val="auto"/>
          <w:szCs w:val="22"/>
        </w:rPr>
        <w:t>Sinking Funds</w:t>
      </w:r>
    </w:p>
    <w:p w:rsidR="00E50232" w:rsidRPr="00F4655F" w:rsidRDefault="00E50232" w:rsidP="00E50232">
      <w:pPr>
        <w:pStyle w:val="BasicParagraph"/>
        <w:tabs>
          <w:tab w:val="left" w:pos="260"/>
          <w:tab w:val="left" w:pos="860"/>
        </w:tabs>
        <w:suppressAutoHyphens/>
        <w:spacing w:line="240" w:lineRule="auto"/>
        <w:rPr>
          <w:rFonts w:ascii="Verdana" w:hAnsi="Verdana" w:cs="Times New Roman"/>
          <w:color w:val="auto"/>
          <w:szCs w:val="22"/>
        </w:rPr>
      </w:pPr>
    </w:p>
    <w:p w:rsidR="00E50232" w:rsidRPr="00F4655F" w:rsidRDefault="00E50232" w:rsidP="00E50232">
      <w:pPr>
        <w:pStyle w:val="BasicParagraph"/>
        <w:tabs>
          <w:tab w:val="left" w:pos="260"/>
          <w:tab w:val="left" w:pos="860"/>
        </w:tabs>
        <w:suppressAutoHyphens/>
        <w:spacing w:line="240" w:lineRule="auto"/>
        <w:rPr>
          <w:rFonts w:ascii="Verdana" w:hAnsi="Verdana" w:cs="Times New Roman"/>
          <w:color w:val="auto"/>
          <w:szCs w:val="22"/>
        </w:rPr>
      </w:pPr>
      <w:r w:rsidRPr="00F4655F">
        <w:rPr>
          <w:rFonts w:ascii="Verdana" w:hAnsi="Verdana" w:cs="Times New Roman"/>
          <w:color w:val="auto"/>
          <w:szCs w:val="22"/>
        </w:rPr>
        <w:t>A sinking fund is an amount of money which is set aside to cover any major work which is needed on common areas or the structure and exterior of the building, in the future.</w:t>
      </w:r>
    </w:p>
    <w:p w:rsidR="00E50232" w:rsidRPr="00F4655F" w:rsidRDefault="00E50232" w:rsidP="00E50232">
      <w:pPr>
        <w:pStyle w:val="BasicParagraph"/>
        <w:tabs>
          <w:tab w:val="left" w:pos="260"/>
          <w:tab w:val="left" w:pos="860"/>
        </w:tabs>
        <w:suppressAutoHyphens/>
        <w:spacing w:line="240" w:lineRule="auto"/>
        <w:rPr>
          <w:rFonts w:ascii="Verdana" w:hAnsi="Verdana" w:cs="Times New Roman"/>
          <w:color w:val="auto"/>
          <w:szCs w:val="22"/>
        </w:rPr>
      </w:pPr>
    </w:p>
    <w:p w:rsidR="00E50232" w:rsidRPr="00F4655F" w:rsidRDefault="00E50232" w:rsidP="00E50232">
      <w:pPr>
        <w:pStyle w:val="BasicParagraph"/>
        <w:tabs>
          <w:tab w:val="left" w:pos="260"/>
          <w:tab w:val="left" w:pos="860"/>
        </w:tabs>
        <w:suppressAutoHyphens/>
        <w:spacing w:line="240" w:lineRule="auto"/>
        <w:rPr>
          <w:rFonts w:ascii="Verdana" w:hAnsi="Verdana" w:cs="Times New Roman"/>
          <w:color w:val="auto"/>
          <w:szCs w:val="22"/>
        </w:rPr>
      </w:pPr>
      <w:r w:rsidRPr="00F4655F">
        <w:rPr>
          <w:rFonts w:ascii="Verdana" w:hAnsi="Verdana" w:cs="Times New Roman"/>
          <w:color w:val="auto"/>
          <w:szCs w:val="22"/>
        </w:rPr>
        <w:t>The sinking fund is usually part of the overall annual service charge and is calculated by looking at the current costs of renewal, whilst taking into account probable changes in inflation and building costs; and the expected lifetime of the component e.g. a replacement roof.  The amount payable is usually then put into an interest bearing account, and the interest accrued is added to the account.</w:t>
      </w:r>
    </w:p>
    <w:p w:rsidR="00E50232" w:rsidRPr="00F4655F" w:rsidRDefault="00E50232" w:rsidP="00E50232">
      <w:pPr>
        <w:pStyle w:val="BasicParagraph"/>
        <w:tabs>
          <w:tab w:val="left" w:pos="260"/>
          <w:tab w:val="left" w:pos="860"/>
        </w:tabs>
        <w:suppressAutoHyphens/>
        <w:spacing w:line="240" w:lineRule="auto"/>
        <w:rPr>
          <w:rFonts w:ascii="Verdana" w:hAnsi="Verdana" w:cs="Times New Roman"/>
          <w:color w:val="auto"/>
          <w:szCs w:val="22"/>
        </w:rPr>
      </w:pPr>
    </w:p>
    <w:p w:rsidR="00E50232" w:rsidRPr="00F4655F" w:rsidRDefault="00E50232" w:rsidP="00E50232">
      <w:pPr>
        <w:pStyle w:val="BasicParagraph"/>
        <w:tabs>
          <w:tab w:val="left" w:pos="260"/>
          <w:tab w:val="left" w:pos="860"/>
        </w:tabs>
        <w:suppressAutoHyphens/>
        <w:spacing w:line="240" w:lineRule="auto"/>
        <w:rPr>
          <w:rFonts w:ascii="Verdana" w:hAnsi="Verdana" w:cs="Times New Roman"/>
          <w:color w:val="auto"/>
          <w:szCs w:val="22"/>
        </w:rPr>
      </w:pPr>
      <w:r w:rsidRPr="00F4655F">
        <w:rPr>
          <w:rFonts w:ascii="Verdana" w:hAnsi="Verdana" w:cs="Times New Roman"/>
          <w:color w:val="auto"/>
          <w:szCs w:val="22"/>
        </w:rPr>
        <w:t xml:space="preserve">We will, where appropriate, offer the choice of contributing to sinking funds as an addition to our normal service charges. </w:t>
      </w:r>
    </w:p>
    <w:p w:rsidR="00E50232" w:rsidRPr="00F4655F" w:rsidRDefault="00E50232" w:rsidP="00E50232">
      <w:pPr>
        <w:pStyle w:val="BasicParagraph"/>
        <w:tabs>
          <w:tab w:val="left" w:pos="260"/>
          <w:tab w:val="left" w:pos="860"/>
        </w:tabs>
        <w:suppressAutoHyphens/>
        <w:spacing w:line="240" w:lineRule="auto"/>
        <w:rPr>
          <w:rFonts w:ascii="Verdana" w:hAnsi="Verdana" w:cs="Times New Roman"/>
          <w:color w:val="auto"/>
          <w:szCs w:val="22"/>
        </w:rPr>
      </w:pPr>
    </w:p>
    <w:p w:rsidR="00E50232" w:rsidRPr="00F4655F" w:rsidRDefault="00E50232" w:rsidP="00E50232">
      <w:pPr>
        <w:pStyle w:val="BasicParagraph"/>
        <w:tabs>
          <w:tab w:val="left" w:pos="260"/>
          <w:tab w:val="left" w:pos="860"/>
        </w:tabs>
        <w:suppressAutoHyphens/>
        <w:spacing w:line="240" w:lineRule="auto"/>
        <w:rPr>
          <w:rFonts w:ascii="Verdana" w:hAnsi="Verdana" w:cs="Times New Roman"/>
          <w:color w:val="auto"/>
          <w:szCs w:val="22"/>
        </w:rPr>
      </w:pPr>
      <w:r w:rsidRPr="00F4655F">
        <w:rPr>
          <w:rFonts w:ascii="Verdana" w:hAnsi="Verdana" w:cs="Times New Roman"/>
          <w:color w:val="auto"/>
          <w:szCs w:val="22"/>
        </w:rPr>
        <w:t>This would be of particular help to certain service charge payers who would find it difficult to pay large sums of money at the point of provision, maintenance or renewal in the future.</w:t>
      </w:r>
    </w:p>
    <w:p w:rsidR="00E50232" w:rsidRPr="00F4655F" w:rsidRDefault="00E50232" w:rsidP="00E50232">
      <w:pPr>
        <w:pStyle w:val="BasicParagraph"/>
        <w:tabs>
          <w:tab w:val="left" w:pos="260"/>
          <w:tab w:val="left" w:pos="860"/>
        </w:tabs>
        <w:suppressAutoHyphens/>
        <w:spacing w:line="240" w:lineRule="auto"/>
        <w:rPr>
          <w:rFonts w:ascii="Verdana" w:hAnsi="Verdana" w:cs="Times New Roman"/>
          <w:color w:val="auto"/>
          <w:szCs w:val="22"/>
        </w:rPr>
      </w:pPr>
    </w:p>
    <w:p w:rsidR="00E50232" w:rsidRDefault="00E50232" w:rsidP="00E50232">
      <w:pPr>
        <w:pStyle w:val="BasicParagraph"/>
        <w:tabs>
          <w:tab w:val="left" w:pos="260"/>
          <w:tab w:val="left" w:pos="860"/>
        </w:tabs>
        <w:suppressAutoHyphens/>
        <w:spacing w:line="240" w:lineRule="auto"/>
        <w:rPr>
          <w:rFonts w:ascii="Verdana" w:hAnsi="Verdana" w:cs="Times New Roman"/>
          <w:color w:val="auto"/>
          <w:szCs w:val="22"/>
        </w:rPr>
      </w:pPr>
      <w:r w:rsidRPr="00F4655F">
        <w:rPr>
          <w:rFonts w:ascii="Verdana" w:hAnsi="Verdana" w:cs="Times New Roman"/>
          <w:color w:val="auto"/>
          <w:szCs w:val="22"/>
        </w:rPr>
        <w:t>In addition, certain service charge payers such as leaseholders and RTB freeholders and their successors in title may find it easier to sell their homes if there is a sinking fund, which may avoid a buyer being overly concerned about future major works expenses.</w:t>
      </w:r>
    </w:p>
    <w:p w:rsidR="00E50232" w:rsidRDefault="00E50232" w:rsidP="00E50232">
      <w:pPr>
        <w:pStyle w:val="BasicParagraph"/>
        <w:tabs>
          <w:tab w:val="left" w:pos="260"/>
          <w:tab w:val="left" w:pos="860"/>
        </w:tabs>
        <w:suppressAutoHyphens/>
        <w:spacing w:line="240" w:lineRule="auto"/>
        <w:rPr>
          <w:rFonts w:ascii="Verdana" w:hAnsi="Verdana" w:cs="Times New Roman"/>
          <w:color w:val="auto"/>
          <w:szCs w:val="22"/>
        </w:rPr>
      </w:pPr>
    </w:p>
    <w:p w:rsidR="00E50232" w:rsidRDefault="00E50232" w:rsidP="00E50232">
      <w:pPr>
        <w:pStyle w:val="BasicParagraph"/>
        <w:tabs>
          <w:tab w:val="left" w:pos="260"/>
          <w:tab w:val="left" w:pos="860"/>
        </w:tabs>
        <w:suppressAutoHyphens/>
        <w:spacing w:line="240" w:lineRule="auto"/>
        <w:rPr>
          <w:rFonts w:ascii="Verdana" w:hAnsi="Verdana" w:cs="Times New Roman"/>
          <w:b/>
          <w:color w:val="auto"/>
          <w:szCs w:val="22"/>
        </w:rPr>
      </w:pPr>
    </w:p>
    <w:p w:rsidR="00E50232" w:rsidRDefault="00E50232" w:rsidP="00E50232">
      <w:pPr>
        <w:pStyle w:val="BasicParagraph"/>
        <w:tabs>
          <w:tab w:val="left" w:pos="260"/>
          <w:tab w:val="left" w:pos="860"/>
        </w:tabs>
        <w:suppressAutoHyphens/>
        <w:spacing w:line="240" w:lineRule="auto"/>
        <w:rPr>
          <w:rFonts w:ascii="Verdana" w:hAnsi="Verdana" w:cs="Times New Roman"/>
          <w:b/>
          <w:color w:val="auto"/>
          <w:szCs w:val="22"/>
        </w:rPr>
      </w:pPr>
    </w:p>
    <w:p w:rsidR="00E50232" w:rsidRDefault="00E50232" w:rsidP="00E50232">
      <w:pPr>
        <w:pStyle w:val="BasicParagraph"/>
        <w:tabs>
          <w:tab w:val="left" w:pos="260"/>
          <w:tab w:val="left" w:pos="860"/>
        </w:tabs>
        <w:suppressAutoHyphens/>
        <w:spacing w:line="240" w:lineRule="auto"/>
        <w:rPr>
          <w:rFonts w:ascii="Verdana" w:hAnsi="Verdana" w:cs="Times New Roman"/>
          <w:b/>
          <w:color w:val="auto"/>
          <w:szCs w:val="22"/>
        </w:rPr>
      </w:pPr>
      <w:r>
        <w:rPr>
          <w:rFonts w:ascii="Verdana" w:hAnsi="Verdana" w:cs="Times New Roman"/>
          <w:b/>
          <w:color w:val="auto"/>
          <w:szCs w:val="22"/>
        </w:rPr>
        <w:lastRenderedPageBreak/>
        <w:t>Payments</w:t>
      </w:r>
    </w:p>
    <w:p w:rsidR="00E50232" w:rsidRDefault="00E50232" w:rsidP="00E50232">
      <w:pPr>
        <w:pStyle w:val="BasicParagraph"/>
        <w:tabs>
          <w:tab w:val="left" w:pos="260"/>
          <w:tab w:val="left" w:pos="860"/>
        </w:tabs>
        <w:suppressAutoHyphens/>
        <w:spacing w:line="240" w:lineRule="auto"/>
        <w:rPr>
          <w:rFonts w:ascii="Verdana" w:hAnsi="Verdana" w:cs="Times New Roman"/>
          <w:b/>
          <w:color w:val="auto"/>
          <w:szCs w:val="22"/>
        </w:rPr>
      </w:pPr>
    </w:p>
    <w:p w:rsidR="00E50232" w:rsidRDefault="00E50232" w:rsidP="00E50232">
      <w:pPr>
        <w:pStyle w:val="BasicParagraph"/>
        <w:tabs>
          <w:tab w:val="left" w:pos="260"/>
          <w:tab w:val="left" w:pos="860"/>
        </w:tabs>
        <w:suppressAutoHyphens/>
        <w:spacing w:line="240" w:lineRule="auto"/>
        <w:rPr>
          <w:rFonts w:ascii="Verdana" w:hAnsi="Verdana" w:cs="Times New Roman"/>
          <w:color w:val="auto"/>
          <w:szCs w:val="22"/>
        </w:rPr>
      </w:pPr>
      <w:r>
        <w:rPr>
          <w:rFonts w:ascii="Verdana" w:hAnsi="Verdana" w:cs="Times New Roman"/>
          <w:color w:val="auto"/>
          <w:szCs w:val="22"/>
        </w:rPr>
        <w:t>Payments can be made weekly, monthly, quarterly or annually in advance depending on which payment period would best help the service charge payer with their budgeting.</w:t>
      </w:r>
    </w:p>
    <w:p w:rsidR="00E50232" w:rsidRDefault="00E50232" w:rsidP="00E50232">
      <w:pPr>
        <w:pStyle w:val="BasicParagraph"/>
        <w:tabs>
          <w:tab w:val="left" w:pos="260"/>
          <w:tab w:val="left" w:pos="860"/>
        </w:tabs>
        <w:suppressAutoHyphens/>
        <w:spacing w:line="240" w:lineRule="auto"/>
        <w:rPr>
          <w:rFonts w:ascii="Verdana" w:hAnsi="Verdana" w:cs="Times New Roman"/>
          <w:color w:val="auto"/>
          <w:szCs w:val="22"/>
        </w:rPr>
      </w:pPr>
    </w:p>
    <w:p w:rsidR="00E50232" w:rsidRDefault="00E50232" w:rsidP="00E50232">
      <w:pPr>
        <w:pStyle w:val="BasicParagraph"/>
        <w:tabs>
          <w:tab w:val="left" w:pos="260"/>
          <w:tab w:val="left" w:pos="860"/>
        </w:tabs>
        <w:suppressAutoHyphens/>
        <w:spacing w:line="240" w:lineRule="auto"/>
        <w:rPr>
          <w:rFonts w:ascii="Verdana" w:hAnsi="Verdana" w:cs="Times New Roman"/>
          <w:color w:val="auto"/>
          <w:szCs w:val="22"/>
        </w:rPr>
      </w:pPr>
      <w:r>
        <w:rPr>
          <w:rFonts w:ascii="Verdana" w:hAnsi="Verdana" w:cs="Times New Roman"/>
          <w:color w:val="auto"/>
          <w:szCs w:val="22"/>
        </w:rPr>
        <w:t>The method for making payments remains the same as for other payments made to Council.</w:t>
      </w:r>
    </w:p>
    <w:p w:rsidR="00E50232" w:rsidRDefault="00E50232" w:rsidP="00E50232">
      <w:pPr>
        <w:pStyle w:val="BasicParagraph"/>
        <w:tabs>
          <w:tab w:val="left" w:pos="260"/>
          <w:tab w:val="left" w:pos="860"/>
        </w:tabs>
        <w:suppressAutoHyphens/>
        <w:spacing w:line="240" w:lineRule="auto"/>
        <w:rPr>
          <w:rFonts w:ascii="Verdana" w:hAnsi="Verdana" w:cs="Times New Roman"/>
          <w:b/>
          <w:color w:val="auto"/>
          <w:szCs w:val="22"/>
        </w:rPr>
      </w:pPr>
    </w:p>
    <w:p w:rsidR="00E50232" w:rsidRPr="00C128F0" w:rsidRDefault="00E50232" w:rsidP="00E50232">
      <w:pPr>
        <w:pStyle w:val="BasicParagraph"/>
        <w:tabs>
          <w:tab w:val="left" w:pos="260"/>
          <w:tab w:val="left" w:pos="860"/>
        </w:tabs>
        <w:suppressAutoHyphens/>
        <w:spacing w:line="240" w:lineRule="auto"/>
        <w:rPr>
          <w:rFonts w:ascii="Verdana" w:hAnsi="Verdana" w:cs="Times New Roman"/>
          <w:b/>
          <w:color w:val="auto"/>
          <w:szCs w:val="22"/>
        </w:rPr>
      </w:pPr>
      <w:r w:rsidRPr="00C128F0">
        <w:rPr>
          <w:rFonts w:ascii="Verdana" w:hAnsi="Verdana" w:cs="Times New Roman"/>
          <w:b/>
          <w:color w:val="auto"/>
          <w:szCs w:val="22"/>
        </w:rPr>
        <w:t xml:space="preserve">How are different </w:t>
      </w:r>
      <w:r>
        <w:rPr>
          <w:rFonts w:ascii="Verdana" w:hAnsi="Verdana" w:cs="Times New Roman"/>
          <w:b/>
          <w:color w:val="auto"/>
          <w:szCs w:val="22"/>
        </w:rPr>
        <w:t>residents</w:t>
      </w:r>
      <w:r w:rsidRPr="00C128F0">
        <w:rPr>
          <w:rFonts w:ascii="Verdana" w:hAnsi="Verdana" w:cs="Times New Roman"/>
          <w:b/>
          <w:color w:val="auto"/>
          <w:szCs w:val="22"/>
        </w:rPr>
        <w:t xml:space="preserve"> affected?</w:t>
      </w:r>
    </w:p>
    <w:p w:rsidR="00E50232" w:rsidRDefault="00E50232" w:rsidP="00E50232">
      <w:pPr>
        <w:pStyle w:val="BasicParagraph"/>
        <w:tabs>
          <w:tab w:val="left" w:pos="260"/>
          <w:tab w:val="left" w:pos="860"/>
        </w:tabs>
        <w:suppressAutoHyphens/>
        <w:spacing w:line="240" w:lineRule="auto"/>
        <w:rPr>
          <w:rFonts w:ascii="Verdana" w:hAnsi="Verdana" w:cs="Times New Roman"/>
          <w:color w:val="auto"/>
          <w:szCs w:val="22"/>
        </w:rPr>
      </w:pPr>
    </w:p>
    <w:p w:rsidR="00E50232" w:rsidRPr="00635B11" w:rsidRDefault="00E50232" w:rsidP="00E50232">
      <w:pPr>
        <w:pStyle w:val="BasicParagraph"/>
        <w:numPr>
          <w:ilvl w:val="0"/>
          <w:numId w:val="32"/>
        </w:numPr>
        <w:suppressAutoHyphens/>
        <w:spacing w:line="240" w:lineRule="auto"/>
        <w:ind w:left="360"/>
        <w:rPr>
          <w:rFonts w:ascii="Verdana" w:hAnsi="Verdana" w:cs="Times New Roman"/>
          <w:color w:val="auto"/>
          <w:szCs w:val="22"/>
        </w:rPr>
      </w:pPr>
      <w:r>
        <w:rPr>
          <w:rFonts w:ascii="Verdana" w:hAnsi="Verdana" w:cs="Times New Roman"/>
          <w:color w:val="auto"/>
          <w:szCs w:val="22"/>
        </w:rPr>
        <w:t>Tenants’ rents currently contribute towards the general provision, maintenance and renewal of amenity areas and common areas, however the Council reserves the right to introduce service charges to cover these and other costs in the future.</w:t>
      </w:r>
      <w:r>
        <w:rPr>
          <w:rFonts w:ascii="Verdana" w:hAnsi="Verdana" w:cs="Times New Roman"/>
          <w:color w:val="auto"/>
          <w:szCs w:val="22"/>
        </w:rPr>
        <w:br/>
      </w:r>
      <w:r>
        <w:rPr>
          <w:rFonts w:ascii="Verdana" w:hAnsi="Verdana" w:cs="Times New Roman"/>
          <w:color w:val="auto"/>
          <w:szCs w:val="22"/>
        </w:rPr>
        <w:br/>
        <w:t>T</w:t>
      </w:r>
      <w:r w:rsidRPr="00635B11">
        <w:rPr>
          <w:rFonts w:ascii="Verdana" w:hAnsi="Verdana" w:cs="Times New Roman"/>
          <w:color w:val="auto"/>
          <w:szCs w:val="22"/>
        </w:rPr>
        <w:t xml:space="preserve">he costs of </w:t>
      </w:r>
      <w:r>
        <w:rPr>
          <w:rFonts w:ascii="Verdana" w:hAnsi="Verdana" w:cs="Times New Roman"/>
          <w:color w:val="auto"/>
          <w:szCs w:val="22"/>
        </w:rPr>
        <w:t>associated</w:t>
      </w:r>
      <w:r w:rsidRPr="00635B11">
        <w:rPr>
          <w:rFonts w:ascii="Verdana" w:hAnsi="Verdana" w:cs="Times New Roman"/>
          <w:color w:val="auto"/>
          <w:szCs w:val="22"/>
        </w:rPr>
        <w:t xml:space="preserve"> services such as communal electricity, cleaning of communal areas, </w:t>
      </w:r>
      <w:r>
        <w:rPr>
          <w:rFonts w:ascii="Verdana" w:hAnsi="Verdana" w:cs="Times New Roman"/>
          <w:color w:val="auto"/>
          <w:szCs w:val="22"/>
        </w:rPr>
        <w:t xml:space="preserve">grounds maintenance, </w:t>
      </w:r>
      <w:proofErr w:type="gramStart"/>
      <w:r w:rsidRPr="00635B11">
        <w:rPr>
          <w:rFonts w:ascii="Verdana" w:hAnsi="Verdana" w:cs="Times New Roman"/>
          <w:color w:val="auto"/>
          <w:szCs w:val="22"/>
        </w:rPr>
        <w:t>health</w:t>
      </w:r>
      <w:proofErr w:type="gramEnd"/>
      <w:r w:rsidRPr="00635B11">
        <w:rPr>
          <w:rFonts w:ascii="Verdana" w:hAnsi="Verdana" w:cs="Times New Roman"/>
          <w:color w:val="auto"/>
          <w:szCs w:val="22"/>
        </w:rPr>
        <w:t xml:space="preserve"> &amp; safety inspections &amp; associated </w:t>
      </w:r>
      <w:r w:rsidRPr="00B240DD">
        <w:rPr>
          <w:rFonts w:ascii="Verdana" w:hAnsi="Verdana" w:cs="Times New Roman"/>
          <w:color w:val="auto"/>
          <w:szCs w:val="22"/>
        </w:rPr>
        <w:t>repairs</w:t>
      </w:r>
      <w:r w:rsidRPr="00635B11">
        <w:rPr>
          <w:rFonts w:ascii="Verdana" w:hAnsi="Verdana" w:cs="Times New Roman"/>
          <w:color w:val="auto"/>
          <w:szCs w:val="22"/>
        </w:rPr>
        <w:t xml:space="preserve"> etc. will be covered by additional service charges.</w:t>
      </w:r>
    </w:p>
    <w:p w:rsidR="00E50232" w:rsidRDefault="00E50232" w:rsidP="00E50232">
      <w:pPr>
        <w:pStyle w:val="BasicParagraph"/>
        <w:tabs>
          <w:tab w:val="left" w:pos="260"/>
          <w:tab w:val="left" w:pos="860"/>
        </w:tabs>
        <w:suppressAutoHyphens/>
        <w:spacing w:line="240" w:lineRule="auto"/>
        <w:rPr>
          <w:rFonts w:ascii="Verdana" w:hAnsi="Verdana" w:cs="Times New Roman"/>
          <w:color w:val="auto"/>
          <w:szCs w:val="22"/>
        </w:rPr>
      </w:pPr>
    </w:p>
    <w:p w:rsidR="00E50232" w:rsidRDefault="00E50232" w:rsidP="00E50232">
      <w:pPr>
        <w:pStyle w:val="BasicParagraph"/>
        <w:numPr>
          <w:ilvl w:val="0"/>
          <w:numId w:val="32"/>
        </w:numPr>
        <w:suppressAutoHyphens/>
        <w:spacing w:line="240" w:lineRule="auto"/>
        <w:ind w:left="360"/>
        <w:rPr>
          <w:rFonts w:ascii="Verdana" w:hAnsi="Verdana" w:cs="Times New Roman"/>
          <w:color w:val="auto"/>
          <w:szCs w:val="22"/>
        </w:rPr>
      </w:pPr>
      <w:r>
        <w:rPr>
          <w:rFonts w:ascii="Verdana" w:hAnsi="Verdana" w:cs="Times New Roman"/>
          <w:color w:val="auto"/>
          <w:szCs w:val="22"/>
        </w:rPr>
        <w:t>Licensees’ licence fees currently contribute towards the general provision, maintenance and renewal of common areas, however the Council reserves the right to introduce service charges to cover these and other costs in the future.</w:t>
      </w:r>
      <w:proofErr w:type="gramStart"/>
      <w:r>
        <w:rPr>
          <w:rFonts w:ascii="Verdana" w:hAnsi="Verdana" w:cs="Times New Roman"/>
          <w:color w:val="auto"/>
          <w:szCs w:val="22"/>
        </w:rPr>
        <w:t>,</w:t>
      </w:r>
      <w:proofErr w:type="gramEnd"/>
      <w:r>
        <w:rPr>
          <w:rFonts w:ascii="Verdana" w:hAnsi="Verdana" w:cs="Times New Roman"/>
          <w:color w:val="auto"/>
          <w:szCs w:val="22"/>
        </w:rPr>
        <w:br/>
      </w:r>
      <w:r>
        <w:rPr>
          <w:rFonts w:ascii="Verdana" w:hAnsi="Verdana" w:cs="Times New Roman"/>
          <w:color w:val="auto"/>
          <w:szCs w:val="22"/>
        </w:rPr>
        <w:br/>
        <w:t xml:space="preserve">The costs of associated services such as communal electricity, cleaning of communal areas, grounds maintenance, health &amp; safety inspections and associated repairs etc. will be covered by additional service charges. </w:t>
      </w:r>
    </w:p>
    <w:p w:rsidR="00E50232" w:rsidRDefault="00E50232" w:rsidP="00E50232">
      <w:pPr>
        <w:pStyle w:val="BasicParagraph"/>
        <w:tabs>
          <w:tab w:val="left" w:pos="260"/>
          <w:tab w:val="left" w:pos="860"/>
        </w:tabs>
        <w:suppressAutoHyphens/>
        <w:spacing w:line="240" w:lineRule="auto"/>
        <w:rPr>
          <w:rFonts w:ascii="Verdana" w:hAnsi="Verdana" w:cs="Times New Roman"/>
          <w:color w:val="auto"/>
          <w:szCs w:val="22"/>
        </w:rPr>
      </w:pPr>
    </w:p>
    <w:p w:rsidR="00E50232" w:rsidRPr="00071D1D" w:rsidRDefault="00E50232" w:rsidP="00E50232">
      <w:pPr>
        <w:pStyle w:val="BasicParagraph"/>
        <w:numPr>
          <w:ilvl w:val="0"/>
          <w:numId w:val="32"/>
        </w:numPr>
        <w:suppressAutoHyphens/>
        <w:spacing w:line="240" w:lineRule="auto"/>
        <w:ind w:left="360"/>
        <w:rPr>
          <w:rFonts w:ascii="Verdana" w:hAnsi="Verdana" w:cs="Times New Roman"/>
          <w:color w:val="auto"/>
          <w:szCs w:val="22"/>
        </w:rPr>
      </w:pPr>
      <w:r w:rsidRPr="00071D1D">
        <w:rPr>
          <w:rFonts w:ascii="Verdana" w:hAnsi="Verdana" w:cs="Times New Roman"/>
          <w:color w:val="auto"/>
          <w:szCs w:val="22"/>
        </w:rPr>
        <w:t>Leaseholders’ service charges currently cover the</w:t>
      </w:r>
      <w:r>
        <w:rPr>
          <w:rFonts w:ascii="Verdana" w:hAnsi="Verdana" w:cs="Times New Roman"/>
          <w:color w:val="auto"/>
          <w:szCs w:val="22"/>
        </w:rPr>
        <w:t>ir contribution towards the</w:t>
      </w:r>
      <w:r w:rsidRPr="00071D1D">
        <w:rPr>
          <w:rFonts w:ascii="Verdana" w:hAnsi="Verdana" w:cs="Times New Roman"/>
          <w:color w:val="auto"/>
          <w:szCs w:val="22"/>
        </w:rPr>
        <w:t xml:space="preserve"> provision, maintenance and renewal of all the estate amenity areas and communal areas around their home that they benefit from</w:t>
      </w:r>
      <w:r>
        <w:rPr>
          <w:rFonts w:ascii="Verdana" w:hAnsi="Verdana" w:cs="Times New Roman"/>
          <w:color w:val="auto"/>
          <w:szCs w:val="22"/>
        </w:rPr>
        <w:t>.</w:t>
      </w:r>
      <w:r>
        <w:rPr>
          <w:rFonts w:ascii="Verdana" w:hAnsi="Verdana" w:cs="Times New Roman"/>
          <w:color w:val="auto"/>
          <w:szCs w:val="22"/>
        </w:rPr>
        <w:br/>
      </w:r>
      <w:r w:rsidRPr="00071D1D">
        <w:rPr>
          <w:rFonts w:ascii="Verdana" w:hAnsi="Verdana" w:cs="Times New Roman"/>
          <w:color w:val="auto"/>
          <w:szCs w:val="22"/>
        </w:rPr>
        <w:br/>
        <w:t xml:space="preserve">The costs of </w:t>
      </w:r>
      <w:r>
        <w:rPr>
          <w:rFonts w:ascii="Verdana" w:hAnsi="Verdana" w:cs="Times New Roman"/>
          <w:color w:val="auto"/>
          <w:szCs w:val="22"/>
        </w:rPr>
        <w:t>associated</w:t>
      </w:r>
      <w:r w:rsidRPr="00071D1D">
        <w:rPr>
          <w:rFonts w:ascii="Verdana" w:hAnsi="Verdana" w:cs="Times New Roman"/>
          <w:color w:val="auto"/>
          <w:szCs w:val="22"/>
        </w:rPr>
        <w:t xml:space="preserve"> services such as communal electricity, cleaning of communal areas, grounds maintenance, </w:t>
      </w:r>
      <w:proofErr w:type="gramStart"/>
      <w:r w:rsidRPr="00071D1D">
        <w:rPr>
          <w:rFonts w:ascii="Verdana" w:hAnsi="Verdana" w:cs="Times New Roman"/>
          <w:color w:val="auto"/>
          <w:szCs w:val="22"/>
        </w:rPr>
        <w:t>health</w:t>
      </w:r>
      <w:proofErr w:type="gramEnd"/>
      <w:r w:rsidRPr="00071D1D">
        <w:rPr>
          <w:rFonts w:ascii="Verdana" w:hAnsi="Verdana" w:cs="Times New Roman"/>
          <w:color w:val="auto"/>
          <w:szCs w:val="22"/>
        </w:rPr>
        <w:t xml:space="preserve"> &amp; safety inspections &amp; associated </w:t>
      </w:r>
      <w:r w:rsidRPr="00B240DD">
        <w:rPr>
          <w:rFonts w:ascii="Verdana" w:hAnsi="Verdana" w:cs="Times New Roman"/>
          <w:color w:val="auto"/>
          <w:szCs w:val="22"/>
        </w:rPr>
        <w:t>repairs</w:t>
      </w:r>
      <w:r w:rsidRPr="00071D1D">
        <w:rPr>
          <w:rFonts w:ascii="Verdana" w:hAnsi="Verdana" w:cs="Times New Roman"/>
          <w:color w:val="auto"/>
          <w:szCs w:val="22"/>
        </w:rPr>
        <w:t xml:space="preserve"> etc. will be covered by additional service charges.</w:t>
      </w:r>
    </w:p>
    <w:p w:rsidR="00E50232" w:rsidRPr="00071D1D" w:rsidRDefault="00E50232" w:rsidP="00E50232">
      <w:pPr>
        <w:pStyle w:val="BasicParagraph"/>
        <w:suppressAutoHyphens/>
        <w:spacing w:line="240" w:lineRule="auto"/>
        <w:ind w:left="360"/>
        <w:rPr>
          <w:rFonts w:ascii="Verdana" w:hAnsi="Verdana" w:cs="Times New Roman"/>
          <w:color w:val="auto"/>
          <w:szCs w:val="22"/>
        </w:rPr>
      </w:pPr>
    </w:p>
    <w:p w:rsidR="00E50232" w:rsidRDefault="00E50232" w:rsidP="00E50232">
      <w:pPr>
        <w:pStyle w:val="BasicParagraph"/>
        <w:numPr>
          <w:ilvl w:val="0"/>
          <w:numId w:val="32"/>
        </w:numPr>
        <w:suppressAutoHyphens/>
        <w:spacing w:line="240" w:lineRule="auto"/>
        <w:ind w:left="360"/>
        <w:rPr>
          <w:rFonts w:ascii="Verdana" w:hAnsi="Verdana" w:cs="Times New Roman"/>
          <w:color w:val="auto"/>
          <w:szCs w:val="22"/>
        </w:rPr>
      </w:pPr>
      <w:r>
        <w:rPr>
          <w:rFonts w:ascii="Verdana" w:hAnsi="Verdana" w:cs="Times New Roman"/>
          <w:color w:val="auto"/>
          <w:szCs w:val="22"/>
        </w:rPr>
        <w:t>RTB Freeholders, subject to the enforceability of such clauses, will pay service charges for items such as Council (HRA) provided sewage treatment e.g. having their sewage treated by an HRA owned rural sewage scheme; and for the provision, maintenance and renewal of any unadopted amenity land e.g. common grassed areas, soft and hard landscaping, roads, footpaths, lighting and parking areas on the estate.</w:t>
      </w:r>
    </w:p>
    <w:p w:rsidR="007D0B65" w:rsidRDefault="007D0B65" w:rsidP="007D0B65">
      <w:pPr>
        <w:pStyle w:val="BasicParagraph"/>
        <w:tabs>
          <w:tab w:val="left" w:pos="260"/>
          <w:tab w:val="left" w:pos="860"/>
        </w:tabs>
        <w:suppressAutoHyphens/>
        <w:spacing w:line="240" w:lineRule="auto"/>
        <w:rPr>
          <w:rFonts w:ascii="Verdana" w:eastAsia="Times New Roman" w:hAnsi="Verdana" w:cs="Times New Roman"/>
          <w:color w:val="auto"/>
          <w:szCs w:val="22"/>
        </w:rPr>
      </w:pPr>
    </w:p>
    <w:p w:rsidR="00E50232" w:rsidRPr="0007100E" w:rsidRDefault="00E50232" w:rsidP="00E50232">
      <w:pPr>
        <w:pStyle w:val="BasicParagraph"/>
        <w:tabs>
          <w:tab w:val="left" w:pos="260"/>
          <w:tab w:val="left" w:pos="860"/>
        </w:tabs>
        <w:suppressAutoHyphens/>
        <w:spacing w:line="240" w:lineRule="auto"/>
        <w:rPr>
          <w:rFonts w:ascii="Verdana" w:hAnsi="Verdana" w:cs="Times New Roman"/>
          <w:b/>
          <w:color w:val="auto"/>
          <w:szCs w:val="22"/>
        </w:rPr>
      </w:pPr>
      <w:r w:rsidRPr="0007100E">
        <w:rPr>
          <w:rFonts w:ascii="Verdana" w:hAnsi="Verdana" w:cs="Times New Roman"/>
          <w:b/>
          <w:color w:val="auto"/>
          <w:szCs w:val="22"/>
        </w:rPr>
        <w:t>Consultation</w:t>
      </w:r>
      <w:r>
        <w:rPr>
          <w:rFonts w:ascii="Verdana" w:hAnsi="Verdana" w:cs="Times New Roman"/>
          <w:b/>
          <w:color w:val="auto"/>
          <w:szCs w:val="22"/>
        </w:rPr>
        <w:t xml:space="preserve"> and Information</w:t>
      </w:r>
    </w:p>
    <w:p w:rsidR="00E50232" w:rsidRDefault="00E50232" w:rsidP="00E50232">
      <w:pPr>
        <w:rPr>
          <w:rFonts w:ascii="Verdana" w:hAnsi="Verdana"/>
          <w:sz w:val="22"/>
          <w:szCs w:val="22"/>
        </w:rPr>
      </w:pPr>
    </w:p>
    <w:p w:rsidR="00E50232" w:rsidRDefault="00E50232" w:rsidP="00E50232">
      <w:pPr>
        <w:rPr>
          <w:rFonts w:ascii="Verdana" w:hAnsi="Verdana"/>
          <w:sz w:val="22"/>
          <w:szCs w:val="22"/>
        </w:rPr>
      </w:pPr>
      <w:r>
        <w:rPr>
          <w:rFonts w:ascii="Verdana" w:hAnsi="Verdana"/>
          <w:sz w:val="22"/>
          <w:szCs w:val="22"/>
        </w:rPr>
        <w:t>We will carry out consultation on services as and when required by a range of methods including:</w:t>
      </w:r>
    </w:p>
    <w:p w:rsidR="00E50232" w:rsidRDefault="00E50232" w:rsidP="00E50232">
      <w:pPr>
        <w:rPr>
          <w:rFonts w:ascii="Verdana" w:hAnsi="Verdana"/>
          <w:sz w:val="22"/>
          <w:szCs w:val="22"/>
        </w:rPr>
      </w:pPr>
    </w:p>
    <w:p w:rsidR="00E50232" w:rsidRPr="00856223" w:rsidRDefault="00E50232" w:rsidP="00E50232">
      <w:pPr>
        <w:pStyle w:val="ListParagraph"/>
        <w:numPr>
          <w:ilvl w:val="0"/>
          <w:numId w:val="27"/>
        </w:numPr>
        <w:rPr>
          <w:rFonts w:ascii="Verdana" w:hAnsi="Verdana"/>
          <w:sz w:val="22"/>
          <w:szCs w:val="22"/>
        </w:rPr>
      </w:pPr>
      <w:r w:rsidRPr="00856223">
        <w:rPr>
          <w:rFonts w:ascii="Verdana" w:hAnsi="Verdana"/>
          <w:sz w:val="22"/>
          <w:szCs w:val="22"/>
        </w:rPr>
        <w:t>Regular discussions with representative groups</w:t>
      </w:r>
    </w:p>
    <w:p w:rsidR="00E50232" w:rsidRPr="00856223" w:rsidRDefault="00E50232" w:rsidP="00E50232">
      <w:pPr>
        <w:pStyle w:val="ListParagraph"/>
        <w:numPr>
          <w:ilvl w:val="0"/>
          <w:numId w:val="27"/>
        </w:numPr>
        <w:rPr>
          <w:rFonts w:ascii="Verdana" w:hAnsi="Verdana"/>
          <w:sz w:val="22"/>
          <w:szCs w:val="22"/>
        </w:rPr>
      </w:pPr>
      <w:r w:rsidRPr="00856223">
        <w:rPr>
          <w:rFonts w:ascii="Verdana" w:hAnsi="Verdana"/>
          <w:sz w:val="22"/>
          <w:szCs w:val="22"/>
        </w:rPr>
        <w:t>Random surveys including questionnaires</w:t>
      </w:r>
    </w:p>
    <w:p w:rsidR="00E50232" w:rsidRPr="00856223" w:rsidRDefault="00E50232" w:rsidP="00E50232">
      <w:pPr>
        <w:pStyle w:val="ListParagraph"/>
        <w:numPr>
          <w:ilvl w:val="0"/>
          <w:numId w:val="27"/>
        </w:numPr>
        <w:rPr>
          <w:rFonts w:ascii="Verdana" w:hAnsi="Verdana"/>
          <w:sz w:val="22"/>
          <w:szCs w:val="22"/>
        </w:rPr>
      </w:pPr>
      <w:r w:rsidRPr="00856223">
        <w:rPr>
          <w:rFonts w:ascii="Verdana" w:hAnsi="Verdana"/>
          <w:sz w:val="22"/>
          <w:szCs w:val="22"/>
        </w:rPr>
        <w:lastRenderedPageBreak/>
        <w:t>Inviting comments at public meetings or via a range of communication methods.</w:t>
      </w:r>
    </w:p>
    <w:p w:rsidR="00E50232" w:rsidRDefault="00E50232" w:rsidP="00E50232">
      <w:pPr>
        <w:tabs>
          <w:tab w:val="left" w:pos="1005"/>
        </w:tabs>
        <w:rPr>
          <w:rFonts w:ascii="Verdana" w:hAnsi="Verdana"/>
          <w:sz w:val="22"/>
          <w:szCs w:val="22"/>
        </w:rPr>
      </w:pPr>
      <w:r>
        <w:rPr>
          <w:rFonts w:ascii="Verdana" w:hAnsi="Verdana"/>
          <w:sz w:val="22"/>
          <w:szCs w:val="22"/>
        </w:rPr>
        <w:tab/>
      </w:r>
    </w:p>
    <w:p w:rsidR="00E50232" w:rsidRDefault="00E50232" w:rsidP="00E50232">
      <w:pPr>
        <w:rPr>
          <w:rFonts w:ascii="Verdana" w:hAnsi="Verdana"/>
          <w:sz w:val="22"/>
          <w:szCs w:val="22"/>
        </w:rPr>
      </w:pPr>
      <w:r>
        <w:rPr>
          <w:rFonts w:ascii="Verdana" w:hAnsi="Verdana"/>
          <w:sz w:val="22"/>
          <w:szCs w:val="22"/>
        </w:rPr>
        <w:t>We will, for example, consult on:</w:t>
      </w:r>
    </w:p>
    <w:p w:rsidR="00E50232" w:rsidRDefault="00E50232" w:rsidP="00E50232">
      <w:pPr>
        <w:rPr>
          <w:rFonts w:ascii="Verdana" w:hAnsi="Verdana"/>
          <w:sz w:val="22"/>
          <w:szCs w:val="22"/>
        </w:rPr>
      </w:pPr>
    </w:p>
    <w:p w:rsidR="00E50232" w:rsidRPr="00856223" w:rsidRDefault="00E50232" w:rsidP="00E50232">
      <w:pPr>
        <w:pStyle w:val="ListParagraph"/>
        <w:numPr>
          <w:ilvl w:val="0"/>
          <w:numId w:val="28"/>
        </w:numPr>
        <w:rPr>
          <w:rFonts w:ascii="Verdana" w:hAnsi="Verdana"/>
          <w:sz w:val="22"/>
          <w:szCs w:val="22"/>
        </w:rPr>
      </w:pPr>
      <w:r w:rsidRPr="00856223">
        <w:rPr>
          <w:rFonts w:ascii="Verdana" w:hAnsi="Verdana"/>
          <w:sz w:val="22"/>
          <w:szCs w:val="22"/>
        </w:rPr>
        <w:t>The types of services to be provided</w:t>
      </w:r>
    </w:p>
    <w:p w:rsidR="00E50232" w:rsidRPr="00856223" w:rsidRDefault="00E50232" w:rsidP="00E50232">
      <w:pPr>
        <w:pStyle w:val="ListParagraph"/>
        <w:numPr>
          <w:ilvl w:val="0"/>
          <w:numId w:val="28"/>
        </w:numPr>
        <w:rPr>
          <w:rFonts w:ascii="Verdana" w:hAnsi="Verdana"/>
          <w:sz w:val="22"/>
          <w:szCs w:val="22"/>
        </w:rPr>
      </w:pPr>
      <w:r>
        <w:rPr>
          <w:rFonts w:ascii="Verdana" w:hAnsi="Verdana"/>
          <w:sz w:val="22"/>
          <w:szCs w:val="22"/>
        </w:rPr>
        <w:t>Additional services</w:t>
      </w:r>
    </w:p>
    <w:p w:rsidR="00E50232" w:rsidRPr="00856223" w:rsidRDefault="00E50232" w:rsidP="00E50232">
      <w:pPr>
        <w:pStyle w:val="ListParagraph"/>
        <w:numPr>
          <w:ilvl w:val="0"/>
          <w:numId w:val="28"/>
        </w:numPr>
        <w:rPr>
          <w:rFonts w:ascii="Verdana" w:hAnsi="Verdana"/>
          <w:sz w:val="22"/>
          <w:szCs w:val="22"/>
        </w:rPr>
      </w:pPr>
      <w:r>
        <w:rPr>
          <w:rFonts w:ascii="Verdana" w:hAnsi="Verdana"/>
          <w:sz w:val="22"/>
          <w:szCs w:val="22"/>
        </w:rPr>
        <w:t>Discontinuing services</w:t>
      </w:r>
    </w:p>
    <w:p w:rsidR="00E50232" w:rsidRPr="00856223" w:rsidRDefault="00E50232" w:rsidP="00E50232">
      <w:pPr>
        <w:pStyle w:val="ListParagraph"/>
        <w:numPr>
          <w:ilvl w:val="0"/>
          <w:numId w:val="28"/>
        </w:numPr>
        <w:rPr>
          <w:rFonts w:ascii="Verdana" w:hAnsi="Verdana"/>
          <w:sz w:val="22"/>
          <w:szCs w:val="22"/>
        </w:rPr>
      </w:pPr>
      <w:r w:rsidRPr="00856223">
        <w:rPr>
          <w:rFonts w:ascii="Verdana" w:hAnsi="Verdana"/>
          <w:sz w:val="22"/>
          <w:szCs w:val="22"/>
        </w:rPr>
        <w:t>Service quality</w:t>
      </w:r>
    </w:p>
    <w:p w:rsidR="00E50232" w:rsidRDefault="00E50232" w:rsidP="00E50232">
      <w:pPr>
        <w:rPr>
          <w:rFonts w:ascii="Verdana" w:hAnsi="Verdana"/>
          <w:sz w:val="22"/>
          <w:szCs w:val="22"/>
        </w:rPr>
      </w:pPr>
    </w:p>
    <w:p w:rsidR="00E50232" w:rsidRDefault="00E50232" w:rsidP="00E50232">
      <w:pPr>
        <w:rPr>
          <w:rFonts w:ascii="Verdana" w:hAnsi="Verdana"/>
          <w:sz w:val="22"/>
          <w:szCs w:val="22"/>
        </w:rPr>
      </w:pPr>
      <w:r>
        <w:rPr>
          <w:rFonts w:ascii="Verdana" w:hAnsi="Verdana"/>
          <w:sz w:val="22"/>
          <w:szCs w:val="22"/>
        </w:rPr>
        <w:t xml:space="preserve">In addition there are a number of situations where we are required by law, currently set out in Section 20 of the Landlord and Tenant Act 1985 as amended, to consult service charge payers on who will be selected to provide service chargeable services or major works. </w:t>
      </w:r>
    </w:p>
    <w:p w:rsidR="00E50232" w:rsidRDefault="00E50232" w:rsidP="00E50232">
      <w:pPr>
        <w:rPr>
          <w:rFonts w:ascii="Verdana" w:hAnsi="Verdana"/>
          <w:sz w:val="22"/>
          <w:szCs w:val="22"/>
        </w:rPr>
      </w:pPr>
    </w:p>
    <w:p w:rsidR="00E50232" w:rsidRPr="005F29B9" w:rsidRDefault="00E50232" w:rsidP="00E50232">
      <w:pPr>
        <w:rPr>
          <w:rFonts w:ascii="Verdana" w:hAnsi="Verdana"/>
          <w:sz w:val="22"/>
          <w:szCs w:val="22"/>
        </w:rPr>
      </w:pPr>
      <w:r>
        <w:rPr>
          <w:rFonts w:ascii="Verdana" w:hAnsi="Verdana"/>
          <w:sz w:val="22"/>
          <w:szCs w:val="22"/>
        </w:rPr>
        <w:t>Qualifying works are a</w:t>
      </w:r>
      <w:r w:rsidRPr="005F29B9">
        <w:rPr>
          <w:rFonts w:ascii="Verdana" w:hAnsi="Verdana"/>
          <w:sz w:val="22"/>
          <w:szCs w:val="22"/>
        </w:rPr>
        <w:t xml:space="preserve">ny works that are carried out by a contractor and are to be charged to the </w:t>
      </w:r>
      <w:r>
        <w:rPr>
          <w:rFonts w:ascii="Verdana" w:hAnsi="Verdana"/>
          <w:sz w:val="22"/>
          <w:szCs w:val="22"/>
        </w:rPr>
        <w:t xml:space="preserve">resident via the service charge. </w:t>
      </w:r>
    </w:p>
    <w:p w:rsidR="00E50232" w:rsidRPr="005F29B9" w:rsidRDefault="00E50232" w:rsidP="00E50232">
      <w:pPr>
        <w:rPr>
          <w:rFonts w:ascii="Verdana" w:hAnsi="Verdana"/>
          <w:sz w:val="22"/>
          <w:szCs w:val="22"/>
        </w:rPr>
      </w:pPr>
    </w:p>
    <w:p w:rsidR="00E50232" w:rsidRDefault="00E50232" w:rsidP="00E50232">
      <w:pPr>
        <w:rPr>
          <w:rFonts w:ascii="Verdana" w:hAnsi="Verdana"/>
          <w:sz w:val="22"/>
          <w:szCs w:val="22"/>
        </w:rPr>
      </w:pPr>
      <w:r>
        <w:rPr>
          <w:rFonts w:ascii="Verdana" w:hAnsi="Verdana"/>
          <w:sz w:val="22"/>
          <w:szCs w:val="22"/>
        </w:rPr>
        <w:t>Qualifying long term agreements are a</w:t>
      </w:r>
      <w:r w:rsidRPr="005F29B9">
        <w:rPr>
          <w:rFonts w:ascii="Verdana" w:hAnsi="Verdana"/>
          <w:sz w:val="22"/>
          <w:szCs w:val="22"/>
        </w:rPr>
        <w:t>ny agreement that exceeds 12 months in duration and relates to service chargeable works or services.</w:t>
      </w:r>
    </w:p>
    <w:p w:rsidR="00E50232" w:rsidRDefault="00E50232" w:rsidP="00E50232">
      <w:pPr>
        <w:rPr>
          <w:rFonts w:ascii="Verdana" w:hAnsi="Verdana"/>
          <w:sz w:val="22"/>
          <w:szCs w:val="22"/>
        </w:rPr>
      </w:pPr>
    </w:p>
    <w:p w:rsidR="00E50232" w:rsidRDefault="00E50232" w:rsidP="00E50232">
      <w:pPr>
        <w:rPr>
          <w:rFonts w:ascii="Verdana" w:hAnsi="Verdana"/>
          <w:sz w:val="22"/>
          <w:szCs w:val="22"/>
        </w:rPr>
      </w:pPr>
      <w:r>
        <w:rPr>
          <w:rFonts w:ascii="Verdana" w:hAnsi="Verdana"/>
          <w:sz w:val="22"/>
          <w:szCs w:val="22"/>
        </w:rPr>
        <w:t>The Secretary of State for Housing, Communities &amp; Local Government</w:t>
      </w:r>
      <w:r w:rsidR="00D60ABE">
        <w:rPr>
          <w:rFonts w:ascii="Verdana" w:hAnsi="Verdana"/>
          <w:sz w:val="22"/>
          <w:szCs w:val="22"/>
        </w:rPr>
        <w:t>, and his/her successors,</w:t>
      </w:r>
      <w:r>
        <w:rPr>
          <w:rFonts w:ascii="Verdana" w:hAnsi="Verdana"/>
          <w:sz w:val="22"/>
          <w:szCs w:val="22"/>
        </w:rPr>
        <w:t xml:space="preserve"> has the power to set the minimum cost that triggers this type of consultation. </w:t>
      </w:r>
      <w:r w:rsidR="00D367CB">
        <w:rPr>
          <w:rFonts w:ascii="Verdana" w:hAnsi="Verdana"/>
          <w:sz w:val="22"/>
          <w:szCs w:val="22"/>
        </w:rPr>
        <w:t>It is</w:t>
      </w:r>
      <w:r>
        <w:rPr>
          <w:rFonts w:ascii="Verdana" w:hAnsi="Verdana"/>
          <w:sz w:val="22"/>
          <w:szCs w:val="22"/>
        </w:rPr>
        <w:t xml:space="preserve"> currently set at £250 (including VAT) for qualifying works and £100 (including VAT) for qualifying long term agreements.  </w:t>
      </w:r>
      <w:r w:rsidR="00D367CB">
        <w:rPr>
          <w:rFonts w:ascii="Verdana" w:hAnsi="Verdana"/>
          <w:sz w:val="22"/>
          <w:szCs w:val="22"/>
        </w:rPr>
        <w:t>B</w:t>
      </w:r>
      <w:r>
        <w:rPr>
          <w:rFonts w:ascii="Verdana" w:hAnsi="Verdana"/>
          <w:sz w:val="22"/>
          <w:szCs w:val="22"/>
        </w:rPr>
        <w:t>oth apply for any one property in one financial year.</w:t>
      </w:r>
    </w:p>
    <w:p w:rsidR="00E50232" w:rsidRDefault="00E50232" w:rsidP="00E50232">
      <w:pPr>
        <w:rPr>
          <w:rFonts w:ascii="Verdana" w:hAnsi="Verdana"/>
          <w:sz w:val="22"/>
          <w:szCs w:val="22"/>
        </w:rPr>
      </w:pPr>
    </w:p>
    <w:p w:rsidR="00E50232" w:rsidRPr="002872C3" w:rsidRDefault="00E50232" w:rsidP="00E50232">
      <w:pPr>
        <w:rPr>
          <w:rFonts w:ascii="Verdana" w:hAnsi="Verdana"/>
          <w:sz w:val="22"/>
          <w:szCs w:val="22"/>
        </w:rPr>
      </w:pPr>
      <w:r w:rsidRPr="002872C3">
        <w:rPr>
          <w:rFonts w:ascii="Verdana" w:hAnsi="Verdana"/>
          <w:sz w:val="22"/>
          <w:szCs w:val="22"/>
        </w:rPr>
        <w:t xml:space="preserve">Where it is not possible to follow Section 20 consultation requirements due to necessary emergency works, we will apply to the First-Tier Tribunal (Property Chamber - Residential Property) for dispensation.   </w:t>
      </w:r>
    </w:p>
    <w:p w:rsidR="00E50232" w:rsidRDefault="00E50232" w:rsidP="00E50232">
      <w:pPr>
        <w:pStyle w:val="01BSCCParagraphbodystyle"/>
        <w:spacing w:after="0"/>
      </w:pPr>
    </w:p>
    <w:p w:rsidR="00E50232" w:rsidRDefault="00E50232" w:rsidP="00E50232">
      <w:pPr>
        <w:pStyle w:val="01BSCCParagraphbodystyle"/>
        <w:rPr>
          <w:szCs w:val="22"/>
        </w:rPr>
      </w:pPr>
      <w:r>
        <w:t xml:space="preserve">Finally under the Housing Act 1985 as amended, the Council is required </w:t>
      </w:r>
      <w:r>
        <w:rPr>
          <w:szCs w:val="22"/>
        </w:rPr>
        <w:t>to set out</w:t>
      </w:r>
      <w:r w:rsidRPr="0007100E">
        <w:rPr>
          <w:szCs w:val="22"/>
        </w:rPr>
        <w:t xml:space="preserve"> </w:t>
      </w:r>
      <w:r>
        <w:rPr>
          <w:szCs w:val="22"/>
        </w:rPr>
        <w:t xml:space="preserve">in a Right </w:t>
      </w:r>
      <w:proofErr w:type="gramStart"/>
      <w:r>
        <w:rPr>
          <w:szCs w:val="22"/>
        </w:rPr>
        <w:t>To</w:t>
      </w:r>
      <w:proofErr w:type="gramEnd"/>
      <w:r>
        <w:rPr>
          <w:szCs w:val="22"/>
        </w:rPr>
        <w:t xml:space="preserve"> Buy </w:t>
      </w:r>
      <w:r w:rsidRPr="0007100E">
        <w:rPr>
          <w:szCs w:val="22"/>
        </w:rPr>
        <w:t>Offer</w:t>
      </w:r>
      <w:r>
        <w:rPr>
          <w:szCs w:val="22"/>
        </w:rPr>
        <w:t>,</w:t>
      </w:r>
      <w:r w:rsidRPr="0007100E">
        <w:rPr>
          <w:szCs w:val="22"/>
        </w:rPr>
        <w:t xml:space="preserve"> the property price, the discount applied and the estimate of any service charge costs.  </w:t>
      </w:r>
      <w:r>
        <w:rPr>
          <w:szCs w:val="22"/>
        </w:rPr>
        <w:t>The estimate is for the first</w:t>
      </w:r>
      <w:r w:rsidRPr="0007100E">
        <w:rPr>
          <w:szCs w:val="22"/>
        </w:rPr>
        <w:t xml:space="preserve"> 5 years </w:t>
      </w:r>
      <w:r>
        <w:rPr>
          <w:szCs w:val="22"/>
        </w:rPr>
        <w:t>and includes ongoing service charges such as cleaning and estimates for any contributions towards the costs of major works during that period.</w:t>
      </w:r>
    </w:p>
    <w:p w:rsidR="00E50232" w:rsidRDefault="00E50232" w:rsidP="00E50232">
      <w:pPr>
        <w:pStyle w:val="01BSCCParagraphbodystyle"/>
        <w:rPr>
          <w:szCs w:val="22"/>
        </w:rPr>
      </w:pPr>
      <w:r>
        <w:rPr>
          <w:szCs w:val="22"/>
        </w:rPr>
        <w:t>This is to ensure that any potential RTB leasehold purchaser is aware of the potential on-going costs of maintaining communal areas and the structure and exterior of the building in which they live, before they finally decide to buy. It does not however give details of costs that may be incurred from year 6 onwards till the end of the lease.</w:t>
      </w:r>
    </w:p>
    <w:p w:rsidR="00E50232" w:rsidRPr="00197373" w:rsidRDefault="00E50232" w:rsidP="00E50232">
      <w:pPr>
        <w:pStyle w:val="01BSCCParagraphbodystyle"/>
        <w:rPr>
          <w:rStyle w:val="Heading1Char"/>
          <w:b w:val="0"/>
          <w:sz w:val="23"/>
          <w:szCs w:val="23"/>
        </w:rPr>
      </w:pPr>
      <w:r>
        <w:rPr>
          <w:szCs w:val="22"/>
        </w:rPr>
        <w:t>Government RTB literature also warns potential RTB freeholders that “</w:t>
      </w:r>
      <w:r>
        <w:rPr>
          <w:sz w:val="23"/>
          <w:szCs w:val="23"/>
        </w:rPr>
        <w:t>Some freeholders may also have to pay service charges for the repair and maintenance of shared communal areas on an estate – for example, pathways, play areas and gardens.”</w:t>
      </w:r>
    </w:p>
    <w:p w:rsidR="00E50232" w:rsidRDefault="00E50232" w:rsidP="005C2A4E">
      <w:pPr>
        <w:pStyle w:val="01BSCCParagraphbodystyle"/>
        <w:rPr>
          <w:b/>
          <w:color w:val="EE6821"/>
        </w:rPr>
      </w:pPr>
    </w:p>
    <w:p w:rsidR="00E50232" w:rsidRDefault="00E50232" w:rsidP="005C2A4E">
      <w:pPr>
        <w:pStyle w:val="01BSCCParagraphbodystyle"/>
        <w:rPr>
          <w:b/>
          <w:color w:val="EE6821"/>
        </w:rPr>
      </w:pPr>
    </w:p>
    <w:p w:rsidR="00E50232" w:rsidRDefault="005C2A4E" w:rsidP="005C2A4E">
      <w:pPr>
        <w:pStyle w:val="01BSCCParagraphbodystyle"/>
        <w:rPr>
          <w:b/>
          <w:color w:val="EE6821"/>
          <w:sz w:val="24"/>
        </w:rPr>
      </w:pPr>
      <w:r w:rsidRPr="005C2A4E">
        <w:rPr>
          <w:b/>
          <w:color w:val="EE6821"/>
        </w:rPr>
        <w:lastRenderedPageBreak/>
        <w:t xml:space="preserve">6. </w:t>
      </w:r>
      <w:r w:rsidRPr="005C2A4E">
        <w:rPr>
          <w:b/>
          <w:color w:val="EE6821"/>
          <w:sz w:val="24"/>
        </w:rPr>
        <w:t>Policy Management</w:t>
      </w:r>
    </w:p>
    <w:p w:rsidR="00E50232" w:rsidRPr="00347589" w:rsidRDefault="00E50232" w:rsidP="00E50232">
      <w:pPr>
        <w:pStyle w:val="01BSCCParagraphbodystyle"/>
        <w:rPr>
          <w:b/>
          <w:szCs w:val="22"/>
        </w:rPr>
      </w:pPr>
      <w:r w:rsidRPr="00347589">
        <w:rPr>
          <w:b/>
          <w:szCs w:val="22"/>
        </w:rPr>
        <w:t>Managing Agent</w:t>
      </w:r>
    </w:p>
    <w:p w:rsidR="00E50232" w:rsidRDefault="00E50232" w:rsidP="00E50232">
      <w:pPr>
        <w:pStyle w:val="01BSCCParagraphbodystyle"/>
        <w:rPr>
          <w:szCs w:val="22"/>
        </w:rPr>
      </w:pPr>
      <w:r>
        <w:rPr>
          <w:szCs w:val="22"/>
        </w:rPr>
        <w:t xml:space="preserve">Cornwall Housing Limited (CHL) is a wholly owned subsidiary of the Council which manages and maintains Cornwall Council’s housing on behalf of the Council. </w:t>
      </w:r>
    </w:p>
    <w:p w:rsidR="00E50232" w:rsidRDefault="00E50232" w:rsidP="00E50232">
      <w:pPr>
        <w:pStyle w:val="01BSCCParagraphbodystyle"/>
        <w:rPr>
          <w:szCs w:val="22"/>
        </w:rPr>
      </w:pPr>
      <w:r>
        <w:rPr>
          <w:szCs w:val="22"/>
        </w:rPr>
        <w:t xml:space="preserve">Consequently CHL are responsible for implementing and managing service charges. </w:t>
      </w:r>
    </w:p>
    <w:p w:rsidR="00E50232" w:rsidRDefault="00E50232" w:rsidP="00E50232">
      <w:pPr>
        <w:pStyle w:val="01BSCCParagraphbodystyle"/>
        <w:rPr>
          <w:b/>
          <w:szCs w:val="22"/>
        </w:rPr>
      </w:pPr>
      <w:r>
        <w:rPr>
          <w:szCs w:val="22"/>
        </w:rPr>
        <w:t>CHL will calculate the cost of those services, recommend the annual level of service charges to the Council for approval and then collect the service charges on behalf of the Council.</w:t>
      </w:r>
    </w:p>
    <w:p w:rsidR="00E50232" w:rsidRDefault="00E50232" w:rsidP="00E50232">
      <w:pPr>
        <w:pStyle w:val="01BSCCParagraphbodystyle"/>
        <w:rPr>
          <w:szCs w:val="22"/>
        </w:rPr>
      </w:pPr>
      <w:r>
        <w:rPr>
          <w:szCs w:val="22"/>
        </w:rPr>
        <w:t xml:space="preserve">CHL will either provide the services directly or supervise approved external contractors who will then provide the services. </w:t>
      </w:r>
    </w:p>
    <w:p w:rsidR="00E50232" w:rsidRPr="00893D35" w:rsidRDefault="00E50232" w:rsidP="00E50232">
      <w:pPr>
        <w:pStyle w:val="01BSCCParagraphbodystyle"/>
        <w:rPr>
          <w:b/>
          <w:sz w:val="23"/>
          <w:szCs w:val="23"/>
        </w:rPr>
      </w:pPr>
      <w:r w:rsidRPr="00893D35">
        <w:rPr>
          <w:b/>
          <w:sz w:val="23"/>
          <w:szCs w:val="23"/>
        </w:rPr>
        <w:t>Complaints</w:t>
      </w:r>
    </w:p>
    <w:p w:rsidR="00E50232" w:rsidRDefault="00E50232" w:rsidP="00E50232">
      <w:pPr>
        <w:pStyle w:val="01BSCCParagraphbodystyle"/>
        <w:rPr>
          <w:sz w:val="23"/>
          <w:szCs w:val="23"/>
        </w:rPr>
      </w:pPr>
      <w:r w:rsidRPr="00893D35">
        <w:rPr>
          <w:sz w:val="23"/>
          <w:szCs w:val="23"/>
        </w:rPr>
        <w:t>Any complaints about service charges</w:t>
      </w:r>
      <w:r>
        <w:rPr>
          <w:sz w:val="23"/>
          <w:szCs w:val="23"/>
        </w:rPr>
        <w:t xml:space="preserve"> should be addressed in the first instance to Cornwall Housing Limited. </w:t>
      </w:r>
    </w:p>
    <w:p w:rsidR="00E50232" w:rsidRDefault="00E50232" w:rsidP="00E50232">
      <w:pPr>
        <w:pStyle w:val="01BSCCParagraphbodystyle"/>
        <w:rPr>
          <w:sz w:val="23"/>
          <w:szCs w:val="23"/>
        </w:rPr>
      </w:pPr>
      <w:r>
        <w:rPr>
          <w:sz w:val="23"/>
          <w:szCs w:val="23"/>
        </w:rPr>
        <w:t xml:space="preserve">All complaints received will be dealt with in accordance with the Cornwall Housing Limited’s standard complaints procedure which is available at </w:t>
      </w:r>
      <w:hyperlink r:id="rId14" w:history="1">
        <w:r w:rsidRPr="001A057C">
          <w:rPr>
            <w:rStyle w:val="Hyperlink"/>
            <w:sz w:val="23"/>
            <w:szCs w:val="23"/>
          </w:rPr>
          <w:t>www.cornwallhousing.org.uk</w:t>
        </w:r>
      </w:hyperlink>
      <w:r>
        <w:rPr>
          <w:sz w:val="23"/>
          <w:szCs w:val="23"/>
        </w:rPr>
        <w:t xml:space="preserve"> </w:t>
      </w:r>
    </w:p>
    <w:p w:rsidR="00E50232" w:rsidRPr="00BF69E9" w:rsidRDefault="00E50232" w:rsidP="00E50232">
      <w:pPr>
        <w:pStyle w:val="01BSCCParagraphbodystyle"/>
        <w:rPr>
          <w:rStyle w:val="Heading1Char"/>
          <w:b w:val="0"/>
          <w:sz w:val="23"/>
          <w:szCs w:val="23"/>
        </w:rPr>
      </w:pPr>
      <w:r>
        <w:rPr>
          <w:sz w:val="23"/>
          <w:szCs w:val="23"/>
        </w:rPr>
        <w:t>Initial expressions of dissatisfaction will be dealt with informally with a view to resolving the issue as soon as possible, without requiring a formal complaint to be made.</w:t>
      </w:r>
    </w:p>
    <w:p w:rsidR="005C2A4E" w:rsidRPr="005C2A4E" w:rsidRDefault="005C2A4E" w:rsidP="005C2A4E">
      <w:pPr>
        <w:pStyle w:val="01BSCCParagraphbodystyle"/>
        <w:rPr>
          <w:b/>
          <w:color w:val="EE6821"/>
          <w:sz w:val="24"/>
          <w:szCs w:val="24"/>
        </w:rPr>
      </w:pPr>
      <w:r w:rsidRPr="005C2A4E">
        <w:rPr>
          <w:b/>
          <w:color w:val="EE6821"/>
          <w:sz w:val="24"/>
          <w:szCs w:val="24"/>
        </w:rPr>
        <w:t>7. Breaches and non-</w:t>
      </w:r>
      <w:r>
        <w:rPr>
          <w:b/>
          <w:color w:val="EE6821"/>
          <w:sz w:val="24"/>
          <w:szCs w:val="24"/>
        </w:rPr>
        <w:t xml:space="preserve">compliance </w:t>
      </w:r>
    </w:p>
    <w:p w:rsidR="00E50232" w:rsidRDefault="00E50232" w:rsidP="00E50232">
      <w:pPr>
        <w:pStyle w:val="01BSCCParagraphbodystyle"/>
        <w:rPr>
          <w:b/>
          <w:szCs w:val="22"/>
        </w:rPr>
      </w:pPr>
      <w:r>
        <w:rPr>
          <w:szCs w:val="22"/>
        </w:rPr>
        <w:t>Any breach of or non-compliance with this policy by a member of staff may be dealt with under Cornwall Housing Limited’s normal disciplinary procedures or by further training and mentoring of the staff member depending on the severity of the breach or non-conformance.</w:t>
      </w:r>
    </w:p>
    <w:p w:rsidR="00E50232" w:rsidRPr="00BF69E9" w:rsidRDefault="00E50232" w:rsidP="00E50232">
      <w:pPr>
        <w:pStyle w:val="01BSCCParagraphbodystyle"/>
        <w:rPr>
          <w:b/>
          <w:szCs w:val="22"/>
        </w:rPr>
      </w:pPr>
      <w:r>
        <w:t xml:space="preserve">Any breach of or non-conformity with this policy by a service provider or contractor </w:t>
      </w:r>
      <w:r>
        <w:rPr>
          <w:szCs w:val="22"/>
        </w:rPr>
        <w:t>may be dealt with under normal contract compliance processes, which in the most severe circumstances may be by a discontinuation of the contract and suing the contractor for damages.</w:t>
      </w:r>
    </w:p>
    <w:p w:rsidR="00E50232" w:rsidRDefault="005C2A4E" w:rsidP="005C2A4E">
      <w:pPr>
        <w:pStyle w:val="01BSCCParagraphbodystyle"/>
        <w:rPr>
          <w:b/>
          <w:color w:val="EE6821"/>
          <w:sz w:val="24"/>
          <w:szCs w:val="24"/>
        </w:rPr>
      </w:pPr>
      <w:r>
        <w:rPr>
          <w:b/>
          <w:color w:val="EE6821"/>
          <w:sz w:val="24"/>
          <w:szCs w:val="24"/>
        </w:rPr>
        <w:t>8</w:t>
      </w:r>
      <w:r w:rsidRPr="005C2A4E">
        <w:rPr>
          <w:b/>
          <w:color w:val="EE6821"/>
          <w:sz w:val="24"/>
          <w:szCs w:val="24"/>
        </w:rPr>
        <w:t xml:space="preserve">. How the impact of the policy will be measured </w:t>
      </w:r>
    </w:p>
    <w:p w:rsidR="00E50232" w:rsidRDefault="00E50232" w:rsidP="00E50232">
      <w:pPr>
        <w:pStyle w:val="01BSCCParagraphbodystyle"/>
        <w:rPr>
          <w:szCs w:val="22"/>
        </w:rPr>
      </w:pPr>
      <w:r>
        <w:rPr>
          <w:szCs w:val="22"/>
        </w:rPr>
        <w:t>The impact of this policy will be measured by a range of key performance indicators, which will be regularly monitored by staff and regularly reported to the relevant Board, relevant Committee(s) and Council.</w:t>
      </w:r>
    </w:p>
    <w:p w:rsidR="00E50232" w:rsidRDefault="00E50232" w:rsidP="00E50232">
      <w:pPr>
        <w:pStyle w:val="01BSCCParagraphbodystyle"/>
        <w:rPr>
          <w:szCs w:val="22"/>
        </w:rPr>
      </w:pPr>
      <w:r>
        <w:rPr>
          <w:szCs w:val="22"/>
        </w:rPr>
        <w:t>Key performance indicators will include:</w:t>
      </w:r>
    </w:p>
    <w:p w:rsidR="00E50232" w:rsidRDefault="00E50232" w:rsidP="00E50232">
      <w:pPr>
        <w:pStyle w:val="01BSCCParagraphbodystyle"/>
        <w:numPr>
          <w:ilvl w:val="0"/>
          <w:numId w:val="30"/>
        </w:numPr>
        <w:rPr>
          <w:szCs w:val="22"/>
        </w:rPr>
      </w:pPr>
      <w:r>
        <w:rPr>
          <w:szCs w:val="22"/>
        </w:rPr>
        <w:t>Annual percentage of rent including service charges collected.</w:t>
      </w:r>
    </w:p>
    <w:p w:rsidR="00E50232" w:rsidRPr="00770675" w:rsidRDefault="00E50232" w:rsidP="00E50232">
      <w:pPr>
        <w:pStyle w:val="01BSCCParagraphbodystyle"/>
        <w:numPr>
          <w:ilvl w:val="0"/>
          <w:numId w:val="30"/>
        </w:numPr>
        <w:rPr>
          <w:b/>
          <w:szCs w:val="22"/>
        </w:rPr>
      </w:pPr>
      <w:r>
        <w:rPr>
          <w:szCs w:val="22"/>
        </w:rPr>
        <w:lastRenderedPageBreak/>
        <w:t>Rent and service charge arrears as a percentage of the rent and service charge debit.</w:t>
      </w:r>
    </w:p>
    <w:p w:rsidR="00E50232" w:rsidRPr="00770675" w:rsidRDefault="00E50232" w:rsidP="00E50232">
      <w:pPr>
        <w:rPr>
          <w:rFonts w:ascii="Verdana" w:hAnsi="Verdana"/>
          <w:sz w:val="22"/>
          <w:szCs w:val="22"/>
        </w:rPr>
      </w:pPr>
      <w:r w:rsidRPr="00770675">
        <w:rPr>
          <w:rFonts w:ascii="Verdana" w:hAnsi="Verdana"/>
          <w:sz w:val="22"/>
          <w:szCs w:val="22"/>
        </w:rPr>
        <w:t>In addition w</w:t>
      </w:r>
      <w:r>
        <w:rPr>
          <w:rFonts w:ascii="Verdana" w:hAnsi="Verdana"/>
          <w:sz w:val="22"/>
          <w:szCs w:val="22"/>
        </w:rPr>
        <w:t>e will</w:t>
      </w:r>
      <w:r w:rsidRPr="00770675">
        <w:rPr>
          <w:rFonts w:ascii="Verdana" w:hAnsi="Verdana"/>
          <w:sz w:val="22"/>
          <w:szCs w:val="22"/>
        </w:rPr>
        <w:t>:</w:t>
      </w:r>
    </w:p>
    <w:p w:rsidR="00E50232" w:rsidRPr="00770675" w:rsidRDefault="00E50232" w:rsidP="00E50232">
      <w:pPr>
        <w:rPr>
          <w:rFonts w:ascii="Verdana" w:hAnsi="Verdana"/>
          <w:sz w:val="22"/>
          <w:szCs w:val="22"/>
        </w:rPr>
      </w:pPr>
    </w:p>
    <w:p w:rsidR="00E50232" w:rsidRPr="00770675" w:rsidRDefault="00E50232" w:rsidP="00E50232">
      <w:pPr>
        <w:pStyle w:val="01BSCCParagraphbodystyle"/>
        <w:numPr>
          <w:ilvl w:val="0"/>
          <w:numId w:val="30"/>
        </w:numPr>
        <w:rPr>
          <w:szCs w:val="22"/>
        </w:rPr>
      </w:pPr>
      <w:r>
        <w:rPr>
          <w:szCs w:val="22"/>
        </w:rPr>
        <w:t>Monitor service charge expenditure</w:t>
      </w:r>
      <w:r w:rsidRPr="00770675">
        <w:rPr>
          <w:szCs w:val="22"/>
        </w:rPr>
        <w:t xml:space="preserve"> </w:t>
      </w:r>
      <w:r>
        <w:rPr>
          <w:szCs w:val="22"/>
        </w:rPr>
        <w:t>to ensure that it is</w:t>
      </w:r>
      <w:r w:rsidRPr="00770675">
        <w:rPr>
          <w:szCs w:val="22"/>
        </w:rPr>
        <w:t xml:space="preserve"> accurately </w:t>
      </w:r>
      <w:r>
        <w:rPr>
          <w:szCs w:val="22"/>
        </w:rPr>
        <w:t xml:space="preserve">apportioned and </w:t>
      </w:r>
      <w:r w:rsidRPr="00770675">
        <w:rPr>
          <w:szCs w:val="22"/>
        </w:rPr>
        <w:t xml:space="preserve">charged </w:t>
      </w:r>
      <w:r>
        <w:rPr>
          <w:szCs w:val="22"/>
        </w:rPr>
        <w:t>via the service charges</w:t>
      </w:r>
    </w:p>
    <w:p w:rsidR="00E50232" w:rsidRPr="00BF69E9" w:rsidRDefault="00E50232" w:rsidP="00E50232">
      <w:pPr>
        <w:pStyle w:val="01BSCCParagraphbodystyle"/>
        <w:numPr>
          <w:ilvl w:val="0"/>
          <w:numId w:val="30"/>
        </w:numPr>
        <w:rPr>
          <w:szCs w:val="22"/>
        </w:rPr>
      </w:pPr>
      <w:r>
        <w:rPr>
          <w:szCs w:val="22"/>
        </w:rPr>
        <w:t>Review</w:t>
      </w:r>
      <w:r w:rsidRPr="00770675">
        <w:rPr>
          <w:szCs w:val="22"/>
        </w:rPr>
        <w:t xml:space="preserve"> key performance indicators of service chargeable </w:t>
      </w:r>
      <w:r>
        <w:rPr>
          <w:szCs w:val="22"/>
        </w:rPr>
        <w:t xml:space="preserve">services and </w:t>
      </w:r>
      <w:r w:rsidRPr="00770675">
        <w:rPr>
          <w:szCs w:val="22"/>
        </w:rPr>
        <w:t xml:space="preserve">contracts to ensure </w:t>
      </w:r>
      <w:r>
        <w:rPr>
          <w:szCs w:val="22"/>
        </w:rPr>
        <w:t xml:space="preserve">they deliver </w:t>
      </w:r>
      <w:r w:rsidRPr="00770675">
        <w:rPr>
          <w:szCs w:val="22"/>
        </w:rPr>
        <w:t xml:space="preserve">value for money </w:t>
      </w:r>
      <w:r>
        <w:rPr>
          <w:szCs w:val="22"/>
        </w:rPr>
        <w:t>and good quality services.</w:t>
      </w:r>
    </w:p>
    <w:p w:rsidR="00E50232" w:rsidRDefault="005C2A4E" w:rsidP="005C2A4E">
      <w:pPr>
        <w:pStyle w:val="01BSCCParagraphbodystyle"/>
        <w:rPr>
          <w:b/>
          <w:color w:val="EE6821"/>
          <w:sz w:val="24"/>
          <w:szCs w:val="24"/>
        </w:rPr>
      </w:pPr>
      <w:r>
        <w:rPr>
          <w:b/>
          <w:color w:val="EE6821"/>
          <w:sz w:val="24"/>
          <w:szCs w:val="24"/>
        </w:rPr>
        <w:t>9</w:t>
      </w:r>
      <w:r w:rsidRPr="005C2A4E">
        <w:rPr>
          <w:b/>
          <w:color w:val="EE6821"/>
          <w:sz w:val="24"/>
          <w:szCs w:val="24"/>
        </w:rPr>
        <w:t xml:space="preserve">. Evaluation and review </w:t>
      </w:r>
    </w:p>
    <w:p w:rsidR="00E50232" w:rsidRPr="00BF69E9" w:rsidRDefault="00E50232" w:rsidP="00E50232">
      <w:pPr>
        <w:pStyle w:val="01BSCCParagraphbodystyle"/>
        <w:rPr>
          <w:b/>
          <w:color w:val="EE6821"/>
          <w:sz w:val="24"/>
          <w:szCs w:val="24"/>
        </w:rPr>
      </w:pPr>
      <w:r>
        <w:rPr>
          <w:szCs w:val="22"/>
        </w:rPr>
        <w:t>This policy will be reviewed within 6-12 months of its implementation and be reviewed at least every 3 years or sooner if there is a change in legislation, regulation or best practice guidance affecting service charges.</w:t>
      </w:r>
    </w:p>
    <w:p w:rsidR="005C2A4E" w:rsidRDefault="00BC4D25" w:rsidP="005C2A4E">
      <w:pPr>
        <w:pStyle w:val="01BSCCParagraphbodystyle"/>
        <w:rPr>
          <w:b/>
          <w:szCs w:val="22"/>
        </w:rPr>
      </w:pPr>
      <w:r>
        <w:rPr>
          <w:szCs w:val="22"/>
        </w:rPr>
        <w:t xml:space="preserve"> </w:t>
      </w:r>
    </w:p>
    <w:p w:rsidR="00D1710A" w:rsidRDefault="00D1710A" w:rsidP="00552460">
      <w:pPr>
        <w:pStyle w:val="01BSCCParagraphbodystyle"/>
      </w:pPr>
    </w:p>
    <w:p w:rsidR="00D1710A" w:rsidRDefault="00D1710A" w:rsidP="00552460">
      <w:pPr>
        <w:pStyle w:val="01BSCCParagraphbodystyle"/>
      </w:pPr>
    </w:p>
    <w:p w:rsidR="00D1710A" w:rsidRDefault="00D1710A" w:rsidP="00552460">
      <w:pPr>
        <w:pStyle w:val="01BSCCParagraphbodystyle"/>
      </w:pPr>
    </w:p>
    <w:p w:rsidR="001F285D" w:rsidRDefault="001F285D" w:rsidP="00BC4D25">
      <w:pPr>
        <w:pStyle w:val="01S1CCSubhead1"/>
        <w:ind w:left="0" w:firstLine="0"/>
        <w:rPr>
          <w:color w:val="EE6821"/>
        </w:rPr>
        <w:sectPr w:rsidR="001F285D" w:rsidSect="001F285D">
          <w:headerReference w:type="even" r:id="rId15"/>
          <w:headerReference w:type="default" r:id="rId16"/>
          <w:headerReference w:type="first" r:id="rId17"/>
          <w:footerReference w:type="first" r:id="rId18"/>
          <w:pgSz w:w="11904" w:h="16834"/>
          <w:pgMar w:top="1701" w:right="1701" w:bottom="1361" w:left="1701" w:header="454" w:footer="454" w:gutter="0"/>
          <w:pgNumType w:start="1"/>
          <w:cols w:space="708"/>
        </w:sectPr>
      </w:pPr>
    </w:p>
    <w:p w:rsidR="00D1710A" w:rsidRPr="002F789B" w:rsidRDefault="00D1710A" w:rsidP="005610CA">
      <w:pPr>
        <w:pStyle w:val="01S1CCSubhead1"/>
        <w:ind w:left="0" w:firstLine="0"/>
        <w:jc w:val="center"/>
        <w:rPr>
          <w:color w:val="EE6821"/>
        </w:rPr>
      </w:pPr>
      <w:r>
        <w:rPr>
          <w:color w:val="EE6821"/>
        </w:rPr>
        <w:lastRenderedPageBreak/>
        <w:t>Alternative formats</w:t>
      </w:r>
    </w:p>
    <w:p w:rsidR="00D1710A" w:rsidRDefault="00D1710A" w:rsidP="00AC3D0A">
      <w:pPr>
        <w:pStyle w:val="01S2CCSubhead2"/>
      </w:pPr>
      <w:proofErr w:type="spellStart"/>
      <w:r>
        <w:t>Furvasow</w:t>
      </w:r>
      <w:proofErr w:type="spellEnd"/>
      <w:r>
        <w:t xml:space="preserve"> </w:t>
      </w:r>
      <w:proofErr w:type="spellStart"/>
      <w:r>
        <w:t>Erel</w:t>
      </w:r>
      <w:proofErr w:type="spellEnd"/>
    </w:p>
    <w:p w:rsidR="00D1710A" w:rsidRDefault="00D1710A" w:rsidP="00D1710A">
      <w:pPr>
        <w:pStyle w:val="01BSCCParagraphbodystyle"/>
        <w:rPr>
          <w:b/>
        </w:rPr>
      </w:pPr>
    </w:p>
    <w:p w:rsidR="00D1710A" w:rsidRPr="00DB46AF" w:rsidRDefault="00D1710A" w:rsidP="005610CA">
      <w:pPr>
        <w:pStyle w:val="01BSCCParagraphbodystyle"/>
        <w:jc w:val="center"/>
        <w:rPr>
          <w:b/>
        </w:rPr>
      </w:pPr>
      <w:r w:rsidRPr="00DB46AF">
        <w:rPr>
          <w:b/>
        </w:rPr>
        <w:t>If you would like this information on audio CD, audio tape, Braille, large print, any other format or interpreted in a language other than English, please contact:-</w:t>
      </w:r>
    </w:p>
    <w:p w:rsidR="00D1710A" w:rsidRDefault="00D1710A" w:rsidP="005610CA">
      <w:pPr>
        <w:pStyle w:val="01BSCCParagraphbodystyle"/>
        <w:jc w:val="center"/>
      </w:pPr>
      <w:r w:rsidRPr="00DB46AF">
        <w:t xml:space="preserve">Mar </w:t>
      </w:r>
      <w:proofErr w:type="spellStart"/>
      <w:r w:rsidRPr="00DB46AF">
        <w:t>mynnowgh</w:t>
      </w:r>
      <w:proofErr w:type="spellEnd"/>
      <w:r w:rsidRPr="00DB46AF">
        <w:t xml:space="preserve"> </w:t>
      </w:r>
      <w:proofErr w:type="spellStart"/>
      <w:r w:rsidRPr="00DB46AF">
        <w:t>hwi</w:t>
      </w:r>
      <w:proofErr w:type="spellEnd"/>
      <w:r w:rsidRPr="00DB46AF">
        <w:t xml:space="preserve"> </w:t>
      </w:r>
      <w:proofErr w:type="spellStart"/>
      <w:r w:rsidRPr="00DB46AF">
        <w:t>kavos</w:t>
      </w:r>
      <w:proofErr w:type="spellEnd"/>
      <w:r w:rsidRPr="00DB46AF">
        <w:t xml:space="preserve"> an </w:t>
      </w:r>
      <w:proofErr w:type="spellStart"/>
      <w:r w:rsidRPr="00DB46AF">
        <w:t>kedhlow</w:t>
      </w:r>
      <w:proofErr w:type="spellEnd"/>
      <w:r w:rsidRPr="00DB46AF">
        <w:t xml:space="preserve"> ma war son-</w:t>
      </w:r>
      <w:proofErr w:type="spellStart"/>
      <w:r w:rsidRPr="00DB46AF">
        <w:t>sidi</w:t>
      </w:r>
      <w:proofErr w:type="spellEnd"/>
      <w:r w:rsidRPr="00DB46AF">
        <w:t xml:space="preserve">, </w:t>
      </w:r>
      <w:proofErr w:type="spellStart"/>
      <w:r w:rsidRPr="00DB46AF">
        <w:t>sonsnod</w:t>
      </w:r>
      <w:proofErr w:type="spellEnd"/>
      <w:r w:rsidRPr="00DB46AF">
        <w:t xml:space="preserve">, </w:t>
      </w:r>
      <w:proofErr w:type="spellStart"/>
      <w:r w:rsidRPr="00DB46AF">
        <w:t>yn</w:t>
      </w:r>
      <w:proofErr w:type="spellEnd"/>
      <w:r w:rsidRPr="00DB46AF">
        <w:t xml:space="preserve"> Braille, </w:t>
      </w:r>
      <w:proofErr w:type="spellStart"/>
      <w:r w:rsidRPr="00DB46AF">
        <w:t>prynt</w:t>
      </w:r>
      <w:proofErr w:type="spellEnd"/>
      <w:r w:rsidRPr="00DB46AF">
        <w:t xml:space="preserve"> bras, </w:t>
      </w:r>
      <w:proofErr w:type="spellStart"/>
      <w:r w:rsidRPr="00DB46AF">
        <w:t>furvas</w:t>
      </w:r>
      <w:proofErr w:type="spellEnd"/>
      <w:r w:rsidRPr="00DB46AF">
        <w:t xml:space="preserve"> </w:t>
      </w:r>
      <w:proofErr w:type="spellStart"/>
      <w:r w:rsidRPr="00DB46AF">
        <w:t>aral</w:t>
      </w:r>
      <w:proofErr w:type="spellEnd"/>
      <w:r w:rsidRPr="00DB46AF">
        <w:t xml:space="preserve"> </w:t>
      </w:r>
      <w:proofErr w:type="spellStart"/>
      <w:r w:rsidRPr="00DB46AF">
        <w:t>po</w:t>
      </w:r>
      <w:proofErr w:type="spellEnd"/>
      <w:r w:rsidRPr="00DB46AF">
        <w:t xml:space="preserve"> </w:t>
      </w:r>
      <w:proofErr w:type="spellStart"/>
      <w:r w:rsidRPr="00DB46AF">
        <w:t>styrys</w:t>
      </w:r>
      <w:proofErr w:type="spellEnd"/>
      <w:r w:rsidRPr="00DB46AF">
        <w:t xml:space="preserve"> </w:t>
      </w:r>
      <w:proofErr w:type="spellStart"/>
      <w:r w:rsidRPr="00DB46AF">
        <w:t>yn</w:t>
      </w:r>
      <w:proofErr w:type="spellEnd"/>
      <w:r w:rsidRPr="00DB46AF">
        <w:t xml:space="preserve"> </w:t>
      </w:r>
      <w:proofErr w:type="spellStart"/>
      <w:r w:rsidRPr="00DB46AF">
        <w:t>taves</w:t>
      </w:r>
      <w:proofErr w:type="spellEnd"/>
      <w:r w:rsidRPr="00DB46AF">
        <w:t xml:space="preserve"> </w:t>
      </w:r>
      <w:proofErr w:type="spellStart"/>
      <w:r w:rsidRPr="00DB46AF">
        <w:t>dres</w:t>
      </w:r>
      <w:proofErr w:type="spellEnd"/>
      <w:r>
        <w:t xml:space="preserve"> </w:t>
      </w:r>
      <w:proofErr w:type="spellStart"/>
      <w:r>
        <w:t>Sowsnek</w:t>
      </w:r>
      <w:proofErr w:type="spellEnd"/>
      <w:r>
        <w:t xml:space="preserve">, </w:t>
      </w:r>
      <w:proofErr w:type="spellStart"/>
      <w:r>
        <w:t>kestevewgh</w:t>
      </w:r>
      <w:proofErr w:type="spellEnd"/>
      <w:r>
        <w:t xml:space="preserve"> mar </w:t>
      </w:r>
      <w:proofErr w:type="spellStart"/>
      <w:r>
        <w:t>pleg</w:t>
      </w:r>
      <w:proofErr w:type="spellEnd"/>
      <w:r>
        <w:t>:-</w:t>
      </w:r>
    </w:p>
    <w:p w:rsidR="00D1710A" w:rsidRDefault="00D1710A" w:rsidP="00C716EF">
      <w:pPr>
        <w:spacing w:after="480"/>
        <w:jc w:val="center"/>
        <w:rPr>
          <w:rFonts w:ascii="Verdana" w:hAnsi="Verdana"/>
          <w:color w:val="EE6821"/>
        </w:rPr>
      </w:pPr>
      <w:r w:rsidRPr="00D1710A">
        <w:rPr>
          <w:rFonts w:ascii="Verdana" w:hAnsi="Verdana"/>
          <w:color w:val="EE6821"/>
        </w:rPr>
        <w:t>Address</w:t>
      </w:r>
    </w:p>
    <w:p w:rsidR="00F67A58" w:rsidRDefault="00F67A58" w:rsidP="00F67A58">
      <w:pPr>
        <w:pStyle w:val="01BSCCParagraphbodystyle"/>
        <w:spacing w:after="480"/>
        <w:ind w:left="3119"/>
        <w:rPr>
          <w:sz w:val="24"/>
          <w:szCs w:val="24"/>
        </w:rPr>
      </w:pPr>
      <w:r w:rsidRPr="00F67A58">
        <w:rPr>
          <w:sz w:val="24"/>
          <w:szCs w:val="24"/>
        </w:rPr>
        <w:t>Cornwall Housing Ltd</w:t>
      </w:r>
      <w:r>
        <w:rPr>
          <w:sz w:val="24"/>
          <w:szCs w:val="24"/>
        </w:rPr>
        <w:br/>
      </w:r>
      <w:r w:rsidRPr="00F67A58">
        <w:rPr>
          <w:sz w:val="24"/>
          <w:szCs w:val="24"/>
        </w:rPr>
        <w:t>Chy Trevail</w:t>
      </w:r>
      <w:r>
        <w:rPr>
          <w:sz w:val="24"/>
          <w:szCs w:val="24"/>
        </w:rPr>
        <w:br/>
      </w:r>
      <w:r w:rsidRPr="00F67A58">
        <w:rPr>
          <w:sz w:val="24"/>
          <w:szCs w:val="24"/>
        </w:rPr>
        <w:t>Beacon Technology Park</w:t>
      </w:r>
      <w:r>
        <w:rPr>
          <w:sz w:val="24"/>
          <w:szCs w:val="24"/>
        </w:rPr>
        <w:br/>
      </w:r>
      <w:r w:rsidRPr="00F67A58">
        <w:rPr>
          <w:sz w:val="24"/>
          <w:szCs w:val="24"/>
        </w:rPr>
        <w:t>Bodmin</w:t>
      </w:r>
      <w:r>
        <w:rPr>
          <w:sz w:val="24"/>
          <w:szCs w:val="24"/>
        </w:rPr>
        <w:br/>
      </w:r>
      <w:r w:rsidRPr="00F67A58">
        <w:rPr>
          <w:sz w:val="24"/>
          <w:szCs w:val="24"/>
        </w:rPr>
        <w:t>Cornwall</w:t>
      </w:r>
      <w:r>
        <w:rPr>
          <w:sz w:val="24"/>
          <w:szCs w:val="24"/>
        </w:rPr>
        <w:br/>
      </w:r>
      <w:r w:rsidRPr="00F67A58">
        <w:rPr>
          <w:sz w:val="24"/>
          <w:szCs w:val="24"/>
        </w:rPr>
        <w:t>PL31 2FR</w:t>
      </w:r>
    </w:p>
    <w:p w:rsidR="00D1710A" w:rsidRPr="00F67A58" w:rsidRDefault="00D1710A" w:rsidP="00F67A58">
      <w:pPr>
        <w:pStyle w:val="01BSCCParagraphbodystyle"/>
        <w:spacing w:after="480"/>
        <w:jc w:val="center"/>
        <w:rPr>
          <w:sz w:val="24"/>
          <w:szCs w:val="24"/>
        </w:rPr>
      </w:pPr>
      <w:r w:rsidRPr="00D1710A">
        <w:rPr>
          <w:color w:val="EE6821"/>
          <w:sz w:val="24"/>
          <w:szCs w:val="24"/>
        </w:rPr>
        <w:t>Telephone</w:t>
      </w:r>
    </w:p>
    <w:p w:rsidR="00D1710A" w:rsidRDefault="00D1710A" w:rsidP="005610CA">
      <w:pPr>
        <w:pStyle w:val="01BSCCParagraphbodystyle"/>
        <w:jc w:val="center"/>
        <w:rPr>
          <w:b/>
          <w:sz w:val="24"/>
          <w:szCs w:val="24"/>
        </w:rPr>
      </w:pPr>
      <w:r>
        <w:rPr>
          <w:sz w:val="24"/>
          <w:szCs w:val="24"/>
        </w:rPr>
        <w:t>General enquiries</w:t>
      </w:r>
      <w:r w:rsidRPr="0071754C">
        <w:rPr>
          <w:sz w:val="24"/>
          <w:szCs w:val="24"/>
        </w:rPr>
        <w:t xml:space="preserve">: </w:t>
      </w:r>
      <w:r w:rsidRPr="0071754C">
        <w:rPr>
          <w:b/>
          <w:sz w:val="24"/>
          <w:szCs w:val="24"/>
        </w:rPr>
        <w:t>0300 1234 161</w:t>
      </w:r>
    </w:p>
    <w:p w:rsidR="00D1710A" w:rsidRDefault="00D1710A" w:rsidP="00C716EF">
      <w:pPr>
        <w:pStyle w:val="01BSCCParagraphbodystyle"/>
        <w:spacing w:after="480"/>
        <w:jc w:val="center"/>
        <w:rPr>
          <w:b/>
          <w:sz w:val="24"/>
          <w:szCs w:val="24"/>
        </w:rPr>
      </w:pPr>
      <w:r w:rsidRPr="0071754C">
        <w:rPr>
          <w:sz w:val="24"/>
          <w:szCs w:val="24"/>
        </w:rPr>
        <w:t>Text</w:t>
      </w:r>
      <w:r>
        <w:rPr>
          <w:sz w:val="24"/>
          <w:szCs w:val="24"/>
        </w:rPr>
        <w:t>:</w:t>
      </w:r>
      <w:r w:rsidRPr="0071754C">
        <w:rPr>
          <w:sz w:val="24"/>
          <w:szCs w:val="24"/>
        </w:rPr>
        <w:t xml:space="preserve"> </w:t>
      </w:r>
      <w:r>
        <w:rPr>
          <w:sz w:val="24"/>
          <w:szCs w:val="24"/>
        </w:rPr>
        <w:t xml:space="preserve"> </w:t>
      </w:r>
      <w:r w:rsidRPr="0071754C">
        <w:rPr>
          <w:b/>
          <w:sz w:val="24"/>
          <w:szCs w:val="24"/>
        </w:rPr>
        <w:t>07941 712 712</w:t>
      </w:r>
    </w:p>
    <w:p w:rsidR="00D1710A" w:rsidRPr="00D1710A" w:rsidRDefault="00D1710A" w:rsidP="00C716EF">
      <w:pPr>
        <w:pStyle w:val="01BSCCParagraphbodystyle"/>
        <w:spacing w:after="480"/>
        <w:jc w:val="center"/>
        <w:rPr>
          <w:color w:val="EE6821"/>
          <w:sz w:val="24"/>
          <w:szCs w:val="24"/>
        </w:rPr>
      </w:pPr>
      <w:r w:rsidRPr="00D1710A">
        <w:rPr>
          <w:color w:val="EE6821"/>
          <w:sz w:val="24"/>
          <w:szCs w:val="24"/>
        </w:rPr>
        <w:t>Email</w:t>
      </w:r>
    </w:p>
    <w:p w:rsidR="00D1710A" w:rsidRPr="0071754C" w:rsidRDefault="00D1710A" w:rsidP="00D1710A">
      <w:pPr>
        <w:pStyle w:val="01BSCCParagraphbodystyle"/>
        <w:rPr>
          <w:sz w:val="24"/>
          <w:szCs w:val="24"/>
        </w:rPr>
      </w:pPr>
      <w:r>
        <w:rPr>
          <w:sz w:val="24"/>
          <w:szCs w:val="24"/>
        </w:rPr>
        <w:t>G</w:t>
      </w:r>
      <w:r w:rsidRPr="0071754C">
        <w:rPr>
          <w:sz w:val="24"/>
          <w:szCs w:val="24"/>
        </w:rPr>
        <w:t xml:space="preserve">eneral enquiries: </w:t>
      </w:r>
      <w:r>
        <w:rPr>
          <w:sz w:val="24"/>
          <w:szCs w:val="24"/>
        </w:rPr>
        <w:tab/>
      </w:r>
      <w:hyperlink r:id="rId19" w:history="1">
        <w:r w:rsidRPr="0071754C">
          <w:rPr>
            <w:rStyle w:val="Hyperlink"/>
            <w:b/>
            <w:sz w:val="24"/>
            <w:szCs w:val="24"/>
          </w:rPr>
          <w:t>info@cornwallhousing.org.uk</w:t>
        </w:r>
      </w:hyperlink>
      <w:r w:rsidRPr="0071754C">
        <w:rPr>
          <w:sz w:val="24"/>
          <w:szCs w:val="24"/>
        </w:rPr>
        <w:t xml:space="preserve"> </w:t>
      </w:r>
    </w:p>
    <w:p w:rsidR="00473063" w:rsidRDefault="00473063" w:rsidP="00C716EF">
      <w:pPr>
        <w:spacing w:after="480"/>
        <w:jc w:val="center"/>
        <w:rPr>
          <w:rFonts w:ascii="Verdana" w:hAnsi="Verdana"/>
          <w:color w:val="EE6821"/>
          <w:szCs w:val="24"/>
        </w:rPr>
      </w:pPr>
    </w:p>
    <w:p w:rsidR="005610CA" w:rsidRDefault="005610CA" w:rsidP="00C716EF">
      <w:pPr>
        <w:spacing w:after="480"/>
        <w:jc w:val="center"/>
        <w:rPr>
          <w:rFonts w:ascii="Verdana" w:hAnsi="Verdana"/>
          <w:color w:val="EE6821"/>
          <w:szCs w:val="24"/>
        </w:rPr>
      </w:pPr>
      <w:r w:rsidRPr="00D1710A">
        <w:rPr>
          <w:rFonts w:ascii="Verdana" w:hAnsi="Verdana"/>
          <w:color w:val="EE6821"/>
          <w:szCs w:val="24"/>
        </w:rPr>
        <w:t>Website</w:t>
      </w:r>
    </w:p>
    <w:p w:rsidR="00B16A96" w:rsidRPr="00801B19" w:rsidRDefault="005A24D3" w:rsidP="00F67A58">
      <w:pPr>
        <w:jc w:val="center"/>
        <w:rPr>
          <w:rFonts w:ascii="Verdana" w:hAnsi="Verdana"/>
          <w:sz w:val="22"/>
          <w:szCs w:val="22"/>
        </w:rPr>
      </w:pPr>
      <w:hyperlink r:id="rId20" w:history="1">
        <w:r w:rsidR="00D1710A" w:rsidRPr="00AF4188">
          <w:rPr>
            <w:rStyle w:val="Hyperlink"/>
            <w:rFonts w:ascii="Verdana" w:hAnsi="Verdana"/>
            <w:b/>
            <w:szCs w:val="24"/>
          </w:rPr>
          <w:t>www.cornwallhousing.org.uk</w:t>
        </w:r>
      </w:hyperlink>
    </w:p>
    <w:p w:rsidR="00D1710A" w:rsidRPr="00801B19" w:rsidRDefault="00D1710A" w:rsidP="005610CA">
      <w:pPr>
        <w:jc w:val="center"/>
        <w:rPr>
          <w:rFonts w:ascii="Verdana" w:hAnsi="Verdana"/>
          <w:b/>
          <w:sz w:val="22"/>
          <w:szCs w:val="22"/>
        </w:rPr>
      </w:pPr>
    </w:p>
    <w:sectPr w:rsidR="00D1710A" w:rsidRPr="00801B19" w:rsidSect="00F67A58">
      <w:headerReference w:type="even" r:id="rId21"/>
      <w:headerReference w:type="default" r:id="rId22"/>
      <w:footerReference w:type="default" r:id="rId23"/>
      <w:headerReference w:type="first" r:id="rId24"/>
      <w:pgSz w:w="11904" w:h="16834"/>
      <w:pgMar w:top="1701" w:right="1701" w:bottom="1361" w:left="1701" w:header="454" w:footer="45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4D3" w:rsidRDefault="005A24D3">
      <w:r>
        <w:separator/>
      </w:r>
    </w:p>
  </w:endnote>
  <w:endnote w:type="continuationSeparator" w:id="0">
    <w:p w:rsidR="005A24D3" w:rsidRDefault="005A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Foundry Sans">
    <w:altName w:val="Corbel"/>
    <w:charset w:val="00"/>
    <w:family w:val="auto"/>
    <w:pitch w:val="variable"/>
    <w:sig w:usb0="800000A7"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49E" w:rsidRDefault="0042049E" w:rsidP="00B931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2049E" w:rsidRDefault="0042049E" w:rsidP="001F28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49E" w:rsidRDefault="0042049E" w:rsidP="00B931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41EB">
      <w:rPr>
        <w:rStyle w:val="PageNumber"/>
        <w:noProof/>
      </w:rPr>
      <w:t>13</w:t>
    </w:r>
    <w:r>
      <w:rPr>
        <w:rStyle w:val="PageNumber"/>
      </w:rPr>
      <w:fldChar w:fldCharType="end"/>
    </w:r>
  </w:p>
  <w:p w:rsidR="0042049E" w:rsidRPr="00DB67FF" w:rsidRDefault="0042049E" w:rsidP="001F285D">
    <w:pPr>
      <w:pStyle w:val="Footer"/>
      <w:tabs>
        <w:tab w:val="clear" w:pos="4320"/>
        <w:tab w:val="clear" w:pos="8640"/>
        <w:tab w:val="right" w:pos="8505"/>
      </w:tabs>
      <w:ind w:right="360"/>
    </w:pPr>
    <w:r>
      <w:rPr>
        <w:lang w:eastAsia="en-GB"/>
      </w:rPr>
      <w:t xml:space="preserve">Cornwall Housing Ltd., HRA Service Charge Policy </w:t>
    </w:r>
    <w:r w:rsidRPr="00DB67FF">
      <w:tab/>
    </w:r>
  </w:p>
  <w:p w:rsidR="0042049E" w:rsidRDefault="00F04051" w:rsidP="000507BA">
    <w:pPr>
      <w:rPr>
        <w:rFonts w:ascii="Verdana" w:hAnsi="Verdana"/>
        <w:sz w:val="20"/>
      </w:rPr>
    </w:pPr>
    <w:r>
      <w:rPr>
        <w:rFonts w:ascii="Verdana" w:hAnsi="Verdana"/>
        <w:sz w:val="20"/>
      </w:rPr>
      <w:t>Version 0.5</w:t>
    </w:r>
    <w:r w:rsidR="0042049E">
      <w:rPr>
        <w:rFonts w:ascii="Verdana" w:hAnsi="Verdana"/>
        <w:sz w:val="20"/>
      </w:rPr>
      <w:t xml:space="preserve">, </w:t>
    </w:r>
    <w:r>
      <w:rPr>
        <w:rFonts w:ascii="Verdana" w:hAnsi="Verdana"/>
        <w:sz w:val="20"/>
      </w:rPr>
      <w:t>19/07/2018</w:t>
    </w:r>
    <w:r w:rsidR="0042049E">
      <w:rPr>
        <w:rFonts w:ascii="Verdana" w:hAnsi="Verdana"/>
        <w:sz w:val="20"/>
      </w:rPr>
      <w:t xml:space="preserve">, </w:t>
    </w:r>
  </w:p>
  <w:p w:rsidR="0042049E" w:rsidRPr="000507BA" w:rsidRDefault="0042049E" w:rsidP="000507BA">
    <w:pPr>
      <w:rPr>
        <w:rFonts w:ascii="Verdana" w:hAnsi="Verdana"/>
        <w:sz w:val="20"/>
        <w:lang w:eastAsia="en-GB"/>
      </w:rPr>
    </w:pPr>
    <w:r w:rsidRPr="000507BA">
      <w:rPr>
        <w:rFonts w:ascii="Verdana" w:hAnsi="Verdana"/>
        <w:sz w:val="20"/>
        <w:lang w:eastAsia="en-GB"/>
      </w:rPr>
      <w:t>Author/s:</w:t>
    </w:r>
    <w:r>
      <w:rPr>
        <w:rFonts w:ascii="Verdana" w:hAnsi="Verdana"/>
        <w:sz w:val="20"/>
        <w:lang w:eastAsia="en-GB"/>
      </w:rPr>
      <w:t xml:space="preserve"> Ian Harries, Sara Nott</w:t>
    </w:r>
    <w:r w:rsidR="00F04051">
      <w:rPr>
        <w:rFonts w:ascii="Verdana" w:hAnsi="Verdana"/>
        <w:sz w:val="20"/>
        <w:lang w:eastAsia="en-GB"/>
      </w:rPr>
      <w:t>,</w:t>
    </w:r>
    <w:r>
      <w:rPr>
        <w:rFonts w:ascii="Verdana" w:hAnsi="Verdana"/>
        <w:sz w:val="20"/>
        <w:lang w:eastAsia="en-GB"/>
      </w:rPr>
      <w:t xml:space="preserve"> Peter Jarman</w:t>
    </w:r>
    <w:r w:rsidR="00F04051">
      <w:rPr>
        <w:rFonts w:ascii="Verdana" w:hAnsi="Verdana"/>
        <w:sz w:val="20"/>
        <w:lang w:eastAsia="en-GB"/>
      </w:rPr>
      <w:t xml:space="preserve"> &amp; Lindsey Smitham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49E" w:rsidRDefault="0042049E" w:rsidP="001D24A3">
    <w:pPr>
      <w:pStyle w:val="Footer"/>
      <w:jc w:val="right"/>
    </w:pPr>
    <w:r>
      <w:t>U</w:t>
    </w:r>
    <w:r w:rsidR="00F04051">
      <w:t>pdated 17</w:t>
    </w:r>
    <w:r>
      <w:t>/09/2017</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49E" w:rsidRDefault="0042049E" w:rsidP="00B931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41EB">
      <w:rPr>
        <w:rStyle w:val="PageNumber"/>
        <w:noProof/>
      </w:rPr>
      <w:t>1</w:t>
    </w:r>
    <w:r>
      <w:rPr>
        <w:rStyle w:val="PageNumber"/>
      </w:rPr>
      <w:fldChar w:fldCharType="end"/>
    </w:r>
  </w:p>
  <w:p w:rsidR="00F24270" w:rsidRPr="00DB67FF" w:rsidRDefault="00F24270" w:rsidP="00F24270">
    <w:pPr>
      <w:pStyle w:val="Footer"/>
      <w:tabs>
        <w:tab w:val="clear" w:pos="4320"/>
        <w:tab w:val="clear" w:pos="8640"/>
        <w:tab w:val="right" w:pos="8505"/>
      </w:tabs>
      <w:ind w:right="360"/>
    </w:pPr>
    <w:r>
      <w:rPr>
        <w:lang w:eastAsia="en-GB"/>
      </w:rPr>
      <w:t xml:space="preserve">Cornwall Housing Ltd., HRA Service Charge Policy </w:t>
    </w:r>
    <w:r w:rsidRPr="00DB67FF">
      <w:tab/>
    </w:r>
  </w:p>
  <w:p w:rsidR="00F24270" w:rsidRDefault="00F24270" w:rsidP="00F24270">
    <w:pPr>
      <w:rPr>
        <w:rFonts w:ascii="Verdana" w:hAnsi="Verdana"/>
        <w:sz w:val="20"/>
      </w:rPr>
    </w:pPr>
    <w:r>
      <w:rPr>
        <w:rFonts w:ascii="Verdana" w:hAnsi="Verdana"/>
        <w:sz w:val="20"/>
      </w:rPr>
      <w:t xml:space="preserve">Version 0.4, 02/11/2017, </w:t>
    </w:r>
  </w:p>
  <w:p w:rsidR="00F24270" w:rsidRPr="000507BA" w:rsidRDefault="00F24270" w:rsidP="00F24270">
    <w:pPr>
      <w:rPr>
        <w:rFonts w:ascii="Verdana" w:hAnsi="Verdana"/>
        <w:sz w:val="20"/>
        <w:lang w:eastAsia="en-GB"/>
      </w:rPr>
    </w:pPr>
    <w:r w:rsidRPr="000507BA">
      <w:rPr>
        <w:rFonts w:ascii="Verdana" w:hAnsi="Verdana"/>
        <w:sz w:val="20"/>
        <w:lang w:eastAsia="en-GB"/>
      </w:rPr>
      <w:t>Author/s:</w:t>
    </w:r>
    <w:r>
      <w:rPr>
        <w:rFonts w:ascii="Verdana" w:hAnsi="Verdana"/>
        <w:sz w:val="20"/>
        <w:lang w:eastAsia="en-GB"/>
      </w:rPr>
      <w:t xml:space="preserve"> Ian Harries, Sara Nott &amp; Peter Jarman</w:t>
    </w:r>
  </w:p>
  <w:p w:rsidR="0042049E" w:rsidRPr="00283A28" w:rsidRDefault="0042049E" w:rsidP="001F285D"/>
  <w:p w:rsidR="0042049E" w:rsidRDefault="0042049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49E" w:rsidRDefault="0042049E" w:rsidP="001727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2049E" w:rsidRDefault="0042049E" w:rsidP="001727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4D3" w:rsidRDefault="005A24D3">
      <w:r>
        <w:separator/>
      </w:r>
    </w:p>
  </w:footnote>
  <w:footnote w:type="continuationSeparator" w:id="0">
    <w:p w:rsidR="005A24D3" w:rsidRDefault="005A2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232" w:rsidRDefault="005A24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06961" o:spid="_x0000_s2053" type="#_x0000_t136" style="position:absolute;margin-left:0;margin-top:0;width:428.1pt;height:171.2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232" w:rsidRDefault="005A24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06964" o:spid="_x0000_s2056" type="#_x0000_t136" style="position:absolute;margin-left:0;margin-top:0;width:428.1pt;height:171.2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232" w:rsidRDefault="00E502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232" w:rsidRDefault="005A24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06963" o:spid="_x0000_s2055" type="#_x0000_t136" style="position:absolute;margin-left:0;margin-top:0;width:428.1pt;height:171.2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232" w:rsidRDefault="005A24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06967" o:spid="_x0000_s2059" type="#_x0000_t136" style="position:absolute;margin-left:0;margin-top:0;width:428.1pt;height:171.2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232" w:rsidRDefault="005A24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06968" o:spid="_x0000_s2060" type="#_x0000_t136" style="position:absolute;margin-left:0;margin-top:0;width:428.1pt;height:171.2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232" w:rsidRDefault="00E50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5149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744E9"/>
    <w:multiLevelType w:val="hybridMultilevel"/>
    <w:tmpl w:val="A6EC1C54"/>
    <w:name w:val="WW8Num623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E6032"/>
    <w:multiLevelType w:val="hybridMultilevel"/>
    <w:tmpl w:val="3D3C88F0"/>
    <w:name w:val="WW8Num623222232"/>
    <w:lvl w:ilvl="0" w:tplc="A6D6D820">
      <w:start w:val="1"/>
      <w:numFmt w:val="bullet"/>
      <w:lvlText w:val=""/>
      <w:lvlJc w:val="left"/>
      <w:pPr>
        <w:tabs>
          <w:tab w:val="num" w:pos="792"/>
        </w:tabs>
        <w:ind w:left="792" w:hanging="360"/>
      </w:pPr>
      <w:rPr>
        <w:rFonts w:ascii="Symbol" w:hAnsi="Symbol" w:hint="default"/>
        <w:color w:val="auto"/>
      </w:rPr>
    </w:lvl>
    <w:lvl w:ilvl="1" w:tplc="08090003" w:tentative="1">
      <w:start w:val="1"/>
      <w:numFmt w:val="bullet"/>
      <w:lvlText w:val="o"/>
      <w:lvlJc w:val="left"/>
      <w:pPr>
        <w:tabs>
          <w:tab w:val="num" w:pos="1515"/>
        </w:tabs>
        <w:ind w:left="1515" w:hanging="360"/>
      </w:pPr>
      <w:rPr>
        <w:rFonts w:ascii="Courier New" w:hAnsi="Courier New" w:cs="Marlett"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Marlett"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Marlett"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0C97230D"/>
    <w:multiLevelType w:val="hybridMultilevel"/>
    <w:tmpl w:val="F0B6FD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644307"/>
    <w:multiLevelType w:val="hybridMultilevel"/>
    <w:tmpl w:val="43D00940"/>
    <w:name w:val="WW8Num6232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0142F"/>
    <w:multiLevelType w:val="hybridMultilevel"/>
    <w:tmpl w:val="FE5EE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7E0798"/>
    <w:multiLevelType w:val="hybridMultilevel"/>
    <w:tmpl w:val="ECE6E9DA"/>
    <w:lvl w:ilvl="0" w:tplc="42D0CD0E">
      <w:start w:val="1"/>
      <w:numFmt w:val="bullet"/>
      <w:lvlText w:val="•"/>
      <w:lvlJc w:val="left"/>
      <w:pPr>
        <w:tabs>
          <w:tab w:val="num" w:pos="814"/>
        </w:tabs>
        <w:ind w:left="814" w:hanging="360"/>
      </w:pPr>
      <w:rPr>
        <w:rFonts w:ascii="Verdana" w:hAnsi="Verdana" w:hint="default"/>
        <w:b/>
        <w:i w:val="0"/>
        <w:color w:val="0064A2"/>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F26B8A"/>
    <w:multiLevelType w:val="hybridMultilevel"/>
    <w:tmpl w:val="C5201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3D6751"/>
    <w:multiLevelType w:val="hybridMultilevel"/>
    <w:tmpl w:val="96CC88D6"/>
    <w:lvl w:ilvl="0" w:tplc="08090001">
      <w:start w:val="1"/>
      <w:numFmt w:val="bullet"/>
      <w:lvlText w:val=""/>
      <w:lvlJc w:val="left"/>
      <w:pPr>
        <w:ind w:left="720" w:hanging="360"/>
      </w:pPr>
      <w:rPr>
        <w:rFonts w:ascii="Symbol" w:hAnsi="Symbol" w:hint="default"/>
        <w:color w:val="71ABC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0588D"/>
    <w:multiLevelType w:val="hybridMultilevel"/>
    <w:tmpl w:val="D70A1858"/>
    <w:lvl w:ilvl="0" w:tplc="EBD01B82">
      <w:start w:val="1"/>
      <w:numFmt w:val="bullet"/>
      <w:lvlText w:val=""/>
      <w:lvlJc w:val="left"/>
      <w:pPr>
        <w:ind w:left="720" w:hanging="360"/>
      </w:pPr>
      <w:rPr>
        <w:rFonts w:ascii="Webdings" w:hAnsi="Webdings" w:hint="default"/>
        <w:color w:val="71ABC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A97FF0"/>
    <w:multiLevelType w:val="hybridMultilevel"/>
    <w:tmpl w:val="2D8A8D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66417B"/>
    <w:multiLevelType w:val="hybridMultilevel"/>
    <w:tmpl w:val="760AC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280473"/>
    <w:multiLevelType w:val="hybridMultilevel"/>
    <w:tmpl w:val="D52ED820"/>
    <w:lvl w:ilvl="0" w:tplc="EBD01B82">
      <w:start w:val="1"/>
      <w:numFmt w:val="bullet"/>
      <w:lvlText w:val=""/>
      <w:lvlJc w:val="left"/>
      <w:pPr>
        <w:ind w:left="720" w:hanging="360"/>
      </w:pPr>
      <w:rPr>
        <w:rFonts w:ascii="Webdings" w:hAnsi="Webdings" w:hint="default"/>
        <w:color w:val="71ABC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0C0A51"/>
    <w:multiLevelType w:val="hybridMultilevel"/>
    <w:tmpl w:val="00F64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93752F"/>
    <w:multiLevelType w:val="hybridMultilevel"/>
    <w:tmpl w:val="A41E859C"/>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F0A4B75"/>
    <w:multiLevelType w:val="hybridMultilevel"/>
    <w:tmpl w:val="102CE232"/>
    <w:lvl w:ilvl="0" w:tplc="5BA06230">
      <w:start w:val="1"/>
      <w:numFmt w:val="bullet"/>
      <w:lvlText w:val="•"/>
      <w:lvlJc w:val="left"/>
      <w:pPr>
        <w:tabs>
          <w:tab w:val="num" w:pos="720"/>
        </w:tabs>
        <w:ind w:left="720" w:hanging="360"/>
      </w:pPr>
      <w:rPr>
        <w:rFonts w:ascii="Verdana" w:hAnsi="Verdana" w:hint="default"/>
      </w:rPr>
    </w:lvl>
    <w:lvl w:ilvl="1" w:tplc="2B20E1CC" w:tentative="1">
      <w:start w:val="1"/>
      <w:numFmt w:val="bullet"/>
      <w:lvlText w:val="•"/>
      <w:lvlJc w:val="left"/>
      <w:pPr>
        <w:tabs>
          <w:tab w:val="num" w:pos="1440"/>
        </w:tabs>
        <w:ind w:left="1440" w:hanging="360"/>
      </w:pPr>
      <w:rPr>
        <w:rFonts w:ascii="Verdana" w:hAnsi="Verdana" w:hint="default"/>
      </w:rPr>
    </w:lvl>
    <w:lvl w:ilvl="2" w:tplc="E9028BC6" w:tentative="1">
      <w:start w:val="1"/>
      <w:numFmt w:val="bullet"/>
      <w:lvlText w:val="•"/>
      <w:lvlJc w:val="left"/>
      <w:pPr>
        <w:tabs>
          <w:tab w:val="num" w:pos="2160"/>
        </w:tabs>
        <w:ind w:left="2160" w:hanging="360"/>
      </w:pPr>
      <w:rPr>
        <w:rFonts w:ascii="Verdana" w:hAnsi="Verdana" w:hint="default"/>
      </w:rPr>
    </w:lvl>
    <w:lvl w:ilvl="3" w:tplc="A42EF744" w:tentative="1">
      <w:start w:val="1"/>
      <w:numFmt w:val="bullet"/>
      <w:lvlText w:val="•"/>
      <w:lvlJc w:val="left"/>
      <w:pPr>
        <w:tabs>
          <w:tab w:val="num" w:pos="2880"/>
        </w:tabs>
        <w:ind w:left="2880" w:hanging="360"/>
      </w:pPr>
      <w:rPr>
        <w:rFonts w:ascii="Verdana" w:hAnsi="Verdana" w:hint="default"/>
      </w:rPr>
    </w:lvl>
    <w:lvl w:ilvl="4" w:tplc="729ADD72" w:tentative="1">
      <w:start w:val="1"/>
      <w:numFmt w:val="bullet"/>
      <w:lvlText w:val="•"/>
      <w:lvlJc w:val="left"/>
      <w:pPr>
        <w:tabs>
          <w:tab w:val="num" w:pos="3600"/>
        </w:tabs>
        <w:ind w:left="3600" w:hanging="360"/>
      </w:pPr>
      <w:rPr>
        <w:rFonts w:ascii="Verdana" w:hAnsi="Verdana" w:hint="default"/>
      </w:rPr>
    </w:lvl>
    <w:lvl w:ilvl="5" w:tplc="EFAA0A20" w:tentative="1">
      <w:start w:val="1"/>
      <w:numFmt w:val="bullet"/>
      <w:lvlText w:val="•"/>
      <w:lvlJc w:val="left"/>
      <w:pPr>
        <w:tabs>
          <w:tab w:val="num" w:pos="4320"/>
        </w:tabs>
        <w:ind w:left="4320" w:hanging="360"/>
      </w:pPr>
      <w:rPr>
        <w:rFonts w:ascii="Verdana" w:hAnsi="Verdana" w:hint="default"/>
      </w:rPr>
    </w:lvl>
    <w:lvl w:ilvl="6" w:tplc="B77CA8C8" w:tentative="1">
      <w:start w:val="1"/>
      <w:numFmt w:val="bullet"/>
      <w:lvlText w:val="•"/>
      <w:lvlJc w:val="left"/>
      <w:pPr>
        <w:tabs>
          <w:tab w:val="num" w:pos="5040"/>
        </w:tabs>
        <w:ind w:left="5040" w:hanging="360"/>
      </w:pPr>
      <w:rPr>
        <w:rFonts w:ascii="Verdana" w:hAnsi="Verdana" w:hint="default"/>
      </w:rPr>
    </w:lvl>
    <w:lvl w:ilvl="7" w:tplc="781C2C86" w:tentative="1">
      <w:start w:val="1"/>
      <w:numFmt w:val="bullet"/>
      <w:lvlText w:val="•"/>
      <w:lvlJc w:val="left"/>
      <w:pPr>
        <w:tabs>
          <w:tab w:val="num" w:pos="5760"/>
        </w:tabs>
        <w:ind w:left="5760" w:hanging="360"/>
      </w:pPr>
      <w:rPr>
        <w:rFonts w:ascii="Verdana" w:hAnsi="Verdana" w:hint="default"/>
      </w:rPr>
    </w:lvl>
    <w:lvl w:ilvl="8" w:tplc="8D184A74" w:tentative="1">
      <w:start w:val="1"/>
      <w:numFmt w:val="bullet"/>
      <w:lvlText w:val="•"/>
      <w:lvlJc w:val="left"/>
      <w:pPr>
        <w:tabs>
          <w:tab w:val="num" w:pos="6480"/>
        </w:tabs>
        <w:ind w:left="6480" w:hanging="360"/>
      </w:pPr>
      <w:rPr>
        <w:rFonts w:ascii="Verdana" w:hAnsi="Verdana" w:hint="default"/>
      </w:rPr>
    </w:lvl>
  </w:abstractNum>
  <w:abstractNum w:abstractNumId="16" w15:restartNumberingAfterBreak="0">
    <w:nsid w:val="2F2F5806"/>
    <w:multiLevelType w:val="hybridMultilevel"/>
    <w:tmpl w:val="50AEAF42"/>
    <w:lvl w:ilvl="0" w:tplc="FDB2220E">
      <w:start w:val="1"/>
      <w:numFmt w:val="bullet"/>
      <w:lvlText w:val="•"/>
      <w:lvlJc w:val="left"/>
      <w:pPr>
        <w:tabs>
          <w:tab w:val="num" w:pos="720"/>
        </w:tabs>
        <w:ind w:left="720" w:hanging="360"/>
      </w:pPr>
      <w:rPr>
        <w:rFonts w:ascii="Verdana" w:hAnsi="Verdana" w:hint="default"/>
      </w:rPr>
    </w:lvl>
    <w:lvl w:ilvl="1" w:tplc="E2CC515C" w:tentative="1">
      <w:start w:val="1"/>
      <w:numFmt w:val="bullet"/>
      <w:lvlText w:val="•"/>
      <w:lvlJc w:val="left"/>
      <w:pPr>
        <w:tabs>
          <w:tab w:val="num" w:pos="1440"/>
        </w:tabs>
        <w:ind w:left="1440" w:hanging="360"/>
      </w:pPr>
      <w:rPr>
        <w:rFonts w:ascii="Verdana" w:hAnsi="Verdana" w:hint="default"/>
      </w:rPr>
    </w:lvl>
    <w:lvl w:ilvl="2" w:tplc="AF7E0A76" w:tentative="1">
      <w:start w:val="1"/>
      <w:numFmt w:val="bullet"/>
      <w:lvlText w:val="•"/>
      <w:lvlJc w:val="left"/>
      <w:pPr>
        <w:tabs>
          <w:tab w:val="num" w:pos="2160"/>
        </w:tabs>
        <w:ind w:left="2160" w:hanging="360"/>
      </w:pPr>
      <w:rPr>
        <w:rFonts w:ascii="Verdana" w:hAnsi="Verdana" w:hint="default"/>
      </w:rPr>
    </w:lvl>
    <w:lvl w:ilvl="3" w:tplc="98AA4A98" w:tentative="1">
      <w:start w:val="1"/>
      <w:numFmt w:val="bullet"/>
      <w:lvlText w:val="•"/>
      <w:lvlJc w:val="left"/>
      <w:pPr>
        <w:tabs>
          <w:tab w:val="num" w:pos="2880"/>
        </w:tabs>
        <w:ind w:left="2880" w:hanging="360"/>
      </w:pPr>
      <w:rPr>
        <w:rFonts w:ascii="Verdana" w:hAnsi="Verdana" w:hint="default"/>
      </w:rPr>
    </w:lvl>
    <w:lvl w:ilvl="4" w:tplc="19CE53A0" w:tentative="1">
      <w:start w:val="1"/>
      <w:numFmt w:val="bullet"/>
      <w:lvlText w:val="•"/>
      <w:lvlJc w:val="left"/>
      <w:pPr>
        <w:tabs>
          <w:tab w:val="num" w:pos="3600"/>
        </w:tabs>
        <w:ind w:left="3600" w:hanging="360"/>
      </w:pPr>
      <w:rPr>
        <w:rFonts w:ascii="Verdana" w:hAnsi="Verdana" w:hint="default"/>
      </w:rPr>
    </w:lvl>
    <w:lvl w:ilvl="5" w:tplc="73ECB574" w:tentative="1">
      <w:start w:val="1"/>
      <w:numFmt w:val="bullet"/>
      <w:lvlText w:val="•"/>
      <w:lvlJc w:val="left"/>
      <w:pPr>
        <w:tabs>
          <w:tab w:val="num" w:pos="4320"/>
        </w:tabs>
        <w:ind w:left="4320" w:hanging="360"/>
      </w:pPr>
      <w:rPr>
        <w:rFonts w:ascii="Verdana" w:hAnsi="Verdana" w:hint="default"/>
      </w:rPr>
    </w:lvl>
    <w:lvl w:ilvl="6" w:tplc="B8A2C9BA" w:tentative="1">
      <w:start w:val="1"/>
      <w:numFmt w:val="bullet"/>
      <w:lvlText w:val="•"/>
      <w:lvlJc w:val="left"/>
      <w:pPr>
        <w:tabs>
          <w:tab w:val="num" w:pos="5040"/>
        </w:tabs>
        <w:ind w:left="5040" w:hanging="360"/>
      </w:pPr>
      <w:rPr>
        <w:rFonts w:ascii="Verdana" w:hAnsi="Verdana" w:hint="default"/>
      </w:rPr>
    </w:lvl>
    <w:lvl w:ilvl="7" w:tplc="941EC9D8" w:tentative="1">
      <w:start w:val="1"/>
      <w:numFmt w:val="bullet"/>
      <w:lvlText w:val="•"/>
      <w:lvlJc w:val="left"/>
      <w:pPr>
        <w:tabs>
          <w:tab w:val="num" w:pos="5760"/>
        </w:tabs>
        <w:ind w:left="5760" w:hanging="360"/>
      </w:pPr>
      <w:rPr>
        <w:rFonts w:ascii="Verdana" w:hAnsi="Verdana" w:hint="default"/>
      </w:rPr>
    </w:lvl>
    <w:lvl w:ilvl="8" w:tplc="E236EE48" w:tentative="1">
      <w:start w:val="1"/>
      <w:numFmt w:val="bullet"/>
      <w:lvlText w:val="•"/>
      <w:lvlJc w:val="left"/>
      <w:pPr>
        <w:tabs>
          <w:tab w:val="num" w:pos="6480"/>
        </w:tabs>
        <w:ind w:left="6480" w:hanging="360"/>
      </w:pPr>
      <w:rPr>
        <w:rFonts w:ascii="Verdana" w:hAnsi="Verdana" w:hint="default"/>
      </w:rPr>
    </w:lvl>
  </w:abstractNum>
  <w:abstractNum w:abstractNumId="17" w15:restartNumberingAfterBreak="0">
    <w:nsid w:val="33962DE6"/>
    <w:multiLevelType w:val="hybridMultilevel"/>
    <w:tmpl w:val="10C47B5E"/>
    <w:lvl w:ilvl="0" w:tplc="08090001">
      <w:start w:val="1"/>
      <w:numFmt w:val="bullet"/>
      <w:lvlText w:val=""/>
      <w:lvlJc w:val="left"/>
      <w:pPr>
        <w:tabs>
          <w:tab w:val="num" w:pos="720"/>
        </w:tabs>
        <w:ind w:left="720" w:hanging="360"/>
      </w:pPr>
      <w:rPr>
        <w:rFonts w:ascii="Symbol" w:hAnsi="Symbol" w:hint="default"/>
      </w:rPr>
    </w:lvl>
    <w:lvl w:ilvl="1" w:tplc="8A46365E">
      <w:start w:val="1"/>
      <w:numFmt w:val="bullet"/>
      <w:lvlText w:val=""/>
      <w:lvlJc w:val="left"/>
      <w:pPr>
        <w:tabs>
          <w:tab w:val="num" w:pos="1440"/>
        </w:tabs>
        <w:ind w:left="1440" w:hanging="360"/>
      </w:pPr>
      <w:rPr>
        <w:rFonts w:ascii="Symbol" w:hAnsi="Symbol" w:hint="default"/>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E25382"/>
    <w:multiLevelType w:val="multilevel"/>
    <w:tmpl w:val="52EECDCC"/>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3929210A"/>
    <w:multiLevelType w:val="hybridMultilevel"/>
    <w:tmpl w:val="5F325DC2"/>
    <w:name w:val="WW8Num62322224"/>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C2712B"/>
    <w:multiLevelType w:val="hybridMultilevel"/>
    <w:tmpl w:val="B130EA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CE381C"/>
    <w:multiLevelType w:val="hybridMultilevel"/>
    <w:tmpl w:val="707A9220"/>
    <w:name w:val="WW8Num623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2E24AD"/>
    <w:multiLevelType w:val="hybridMultilevel"/>
    <w:tmpl w:val="8DE64864"/>
    <w:name w:val="WW8Num6232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135A2B"/>
    <w:multiLevelType w:val="hybridMultilevel"/>
    <w:tmpl w:val="DCAC5FF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C05466"/>
    <w:multiLevelType w:val="hybridMultilevel"/>
    <w:tmpl w:val="066CC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AB1DE3"/>
    <w:multiLevelType w:val="hybridMultilevel"/>
    <w:tmpl w:val="662C1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E30E0B"/>
    <w:multiLevelType w:val="hybridMultilevel"/>
    <w:tmpl w:val="A5A66500"/>
    <w:name w:val="WW8Num6232"/>
    <w:lvl w:ilvl="0" w:tplc="A6D6D82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3"/>
        </w:tabs>
        <w:ind w:left="1083" w:hanging="360"/>
      </w:pPr>
      <w:rPr>
        <w:rFonts w:ascii="Courier New" w:hAnsi="Courier New" w:cs="Marlett"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Marlett"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Marlett"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7" w15:restartNumberingAfterBreak="0">
    <w:nsid w:val="51143EBD"/>
    <w:multiLevelType w:val="hybridMultilevel"/>
    <w:tmpl w:val="A80EAC7A"/>
    <w:name w:val="WW8Num62322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0C2088"/>
    <w:multiLevelType w:val="hybridMultilevel"/>
    <w:tmpl w:val="882A473E"/>
    <w:name w:val="WW8Num623"/>
    <w:lvl w:ilvl="0" w:tplc="A6D6D820">
      <w:start w:val="1"/>
      <w:numFmt w:val="bullet"/>
      <w:lvlText w:val=""/>
      <w:lvlJc w:val="left"/>
      <w:pPr>
        <w:tabs>
          <w:tab w:val="num" w:pos="717"/>
        </w:tabs>
        <w:ind w:left="717"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217373"/>
    <w:multiLevelType w:val="hybridMultilevel"/>
    <w:tmpl w:val="8696C882"/>
    <w:name w:val="WW8Num62322"/>
    <w:lvl w:ilvl="0" w:tplc="A6D6D820">
      <w:start w:val="1"/>
      <w:numFmt w:val="bullet"/>
      <w:lvlText w:val=""/>
      <w:lvlJc w:val="left"/>
      <w:pPr>
        <w:tabs>
          <w:tab w:val="num" w:pos="900"/>
        </w:tabs>
        <w:ind w:left="9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AA6D2A"/>
    <w:multiLevelType w:val="hybridMultilevel"/>
    <w:tmpl w:val="6FEE82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766FDA"/>
    <w:multiLevelType w:val="hybridMultilevel"/>
    <w:tmpl w:val="BA82A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9862B09"/>
    <w:multiLevelType w:val="hybridMultilevel"/>
    <w:tmpl w:val="89C6EBE4"/>
    <w:lvl w:ilvl="0" w:tplc="EBD01B82">
      <w:start w:val="1"/>
      <w:numFmt w:val="bullet"/>
      <w:lvlText w:val=""/>
      <w:lvlJc w:val="left"/>
      <w:pPr>
        <w:ind w:left="720" w:hanging="360"/>
      </w:pPr>
      <w:rPr>
        <w:rFonts w:ascii="Webdings" w:hAnsi="Webdings" w:hint="default"/>
        <w:color w:val="71ABC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1627A6"/>
    <w:multiLevelType w:val="hybridMultilevel"/>
    <w:tmpl w:val="7AFC9140"/>
    <w:lvl w:ilvl="0" w:tplc="8A46365E">
      <w:start w:val="1"/>
      <w:numFmt w:val="bullet"/>
      <w:lvlText w:val=""/>
      <w:lvlJc w:val="left"/>
      <w:pPr>
        <w:tabs>
          <w:tab w:val="num" w:pos="2160"/>
        </w:tabs>
        <w:ind w:left="21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A56457"/>
    <w:multiLevelType w:val="hybridMultilevel"/>
    <w:tmpl w:val="3B48B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AD2F71"/>
    <w:multiLevelType w:val="hybridMultilevel"/>
    <w:tmpl w:val="79C88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C6421F"/>
    <w:multiLevelType w:val="hybridMultilevel"/>
    <w:tmpl w:val="A19C7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1CE719F"/>
    <w:multiLevelType w:val="hybridMultilevel"/>
    <w:tmpl w:val="FF4210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B91A21"/>
    <w:multiLevelType w:val="hybridMultilevel"/>
    <w:tmpl w:val="63BA5F00"/>
    <w:name w:val="WW8Num623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EE4E31"/>
    <w:multiLevelType w:val="hybridMultilevel"/>
    <w:tmpl w:val="01C4F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A046780"/>
    <w:multiLevelType w:val="hybridMultilevel"/>
    <w:tmpl w:val="A90A7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6D652B"/>
    <w:multiLevelType w:val="hybridMultilevel"/>
    <w:tmpl w:val="C6AE8F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FE70E9D"/>
    <w:multiLevelType w:val="hybridMultilevel"/>
    <w:tmpl w:val="937ECE9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6"/>
  </w:num>
  <w:num w:numId="3">
    <w:abstractNumId w:val="17"/>
  </w:num>
  <w:num w:numId="4">
    <w:abstractNumId w:val="0"/>
  </w:num>
  <w:num w:numId="5">
    <w:abstractNumId w:val="41"/>
  </w:num>
  <w:num w:numId="6">
    <w:abstractNumId w:val="20"/>
  </w:num>
  <w:num w:numId="7">
    <w:abstractNumId w:val="14"/>
  </w:num>
  <w:num w:numId="8">
    <w:abstractNumId w:val="33"/>
  </w:num>
  <w:num w:numId="9">
    <w:abstractNumId w:val="16"/>
  </w:num>
  <w:num w:numId="10">
    <w:abstractNumId w:val="15"/>
  </w:num>
  <w:num w:numId="11">
    <w:abstractNumId w:val="32"/>
  </w:num>
  <w:num w:numId="12">
    <w:abstractNumId w:val="1"/>
  </w:num>
  <w:num w:numId="13">
    <w:abstractNumId w:val="8"/>
  </w:num>
  <w:num w:numId="14">
    <w:abstractNumId w:val="24"/>
  </w:num>
  <w:num w:numId="15">
    <w:abstractNumId w:val="9"/>
  </w:num>
  <w:num w:numId="16">
    <w:abstractNumId w:val="3"/>
  </w:num>
  <w:num w:numId="17">
    <w:abstractNumId w:val="7"/>
  </w:num>
  <w:num w:numId="18">
    <w:abstractNumId w:val="11"/>
  </w:num>
  <w:num w:numId="19">
    <w:abstractNumId w:val="36"/>
  </w:num>
  <w:num w:numId="20">
    <w:abstractNumId w:val="31"/>
  </w:num>
  <w:num w:numId="21">
    <w:abstractNumId w:val="10"/>
  </w:num>
  <w:num w:numId="22">
    <w:abstractNumId w:val="23"/>
  </w:num>
  <w:num w:numId="23">
    <w:abstractNumId w:val="42"/>
  </w:num>
  <w:num w:numId="24">
    <w:abstractNumId w:val="39"/>
  </w:num>
  <w:num w:numId="25">
    <w:abstractNumId w:val="30"/>
  </w:num>
  <w:num w:numId="26">
    <w:abstractNumId w:val="37"/>
  </w:num>
  <w:num w:numId="27">
    <w:abstractNumId w:val="13"/>
  </w:num>
  <w:num w:numId="28">
    <w:abstractNumId w:val="35"/>
  </w:num>
  <w:num w:numId="29">
    <w:abstractNumId w:val="25"/>
  </w:num>
  <w:num w:numId="30">
    <w:abstractNumId w:val="34"/>
  </w:num>
  <w:num w:numId="31">
    <w:abstractNumId w:val="12"/>
  </w:num>
  <w:num w:numId="32">
    <w:abstractNumId w:val="5"/>
  </w:num>
  <w:num w:numId="33">
    <w:abstractNumId w:val="4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61" fillcolor="white">
      <v:fill color="white"/>
      <v:shadow color="black" opacity="49151f" offset=".74833mm,.74833mm"/>
      <o:colormru v:ext="edit" colors="#0064a2,#789327,#6db3ff,#cc621e,#e6aa79,#21889a,#bc0069,#e8e8e8"/>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BA9"/>
    <w:rsid w:val="0001211E"/>
    <w:rsid w:val="00014E9C"/>
    <w:rsid w:val="0001744F"/>
    <w:rsid w:val="00017DA2"/>
    <w:rsid w:val="00020393"/>
    <w:rsid w:val="00021968"/>
    <w:rsid w:val="00031169"/>
    <w:rsid w:val="000507BA"/>
    <w:rsid w:val="0007100E"/>
    <w:rsid w:val="00083BA0"/>
    <w:rsid w:val="00086562"/>
    <w:rsid w:val="00090E10"/>
    <w:rsid w:val="00097F82"/>
    <w:rsid w:val="000A0967"/>
    <w:rsid w:val="000C3B70"/>
    <w:rsid w:val="000C43DC"/>
    <w:rsid w:val="00103330"/>
    <w:rsid w:val="001267C4"/>
    <w:rsid w:val="00133387"/>
    <w:rsid w:val="00135D3D"/>
    <w:rsid w:val="00143149"/>
    <w:rsid w:val="00145619"/>
    <w:rsid w:val="00152959"/>
    <w:rsid w:val="00161853"/>
    <w:rsid w:val="0016618A"/>
    <w:rsid w:val="00172791"/>
    <w:rsid w:val="00180643"/>
    <w:rsid w:val="001D24A3"/>
    <w:rsid w:val="001D7121"/>
    <w:rsid w:val="001D723D"/>
    <w:rsid w:val="001E718E"/>
    <w:rsid w:val="001F1692"/>
    <w:rsid w:val="001F285D"/>
    <w:rsid w:val="001F5ECB"/>
    <w:rsid w:val="00201AC7"/>
    <w:rsid w:val="00204023"/>
    <w:rsid w:val="002042F3"/>
    <w:rsid w:val="00205E1E"/>
    <w:rsid w:val="0022398C"/>
    <w:rsid w:val="00224934"/>
    <w:rsid w:val="002378FE"/>
    <w:rsid w:val="00241862"/>
    <w:rsid w:val="002539F7"/>
    <w:rsid w:val="00254C51"/>
    <w:rsid w:val="00260788"/>
    <w:rsid w:val="00264BA7"/>
    <w:rsid w:val="00265603"/>
    <w:rsid w:val="00265A9F"/>
    <w:rsid w:val="002872C3"/>
    <w:rsid w:val="00291757"/>
    <w:rsid w:val="002953CB"/>
    <w:rsid w:val="00295C36"/>
    <w:rsid w:val="002A1B9F"/>
    <w:rsid w:val="002A6B9F"/>
    <w:rsid w:val="002B229E"/>
    <w:rsid w:val="002B5686"/>
    <w:rsid w:val="002C2837"/>
    <w:rsid w:val="002C6320"/>
    <w:rsid w:val="002D5AC1"/>
    <w:rsid w:val="002E24D4"/>
    <w:rsid w:val="002F5EA1"/>
    <w:rsid w:val="002F789B"/>
    <w:rsid w:val="003125B1"/>
    <w:rsid w:val="003210A4"/>
    <w:rsid w:val="00340A0E"/>
    <w:rsid w:val="003412B1"/>
    <w:rsid w:val="00343F3E"/>
    <w:rsid w:val="00347589"/>
    <w:rsid w:val="00351DAD"/>
    <w:rsid w:val="00362132"/>
    <w:rsid w:val="003678C0"/>
    <w:rsid w:val="00367E4B"/>
    <w:rsid w:val="003875B6"/>
    <w:rsid w:val="003A5661"/>
    <w:rsid w:val="003A6801"/>
    <w:rsid w:val="003C082B"/>
    <w:rsid w:val="003D6756"/>
    <w:rsid w:val="003E356A"/>
    <w:rsid w:val="003F57FB"/>
    <w:rsid w:val="00401877"/>
    <w:rsid w:val="00401C14"/>
    <w:rsid w:val="0042049E"/>
    <w:rsid w:val="004254C2"/>
    <w:rsid w:val="00431BCA"/>
    <w:rsid w:val="00454E1F"/>
    <w:rsid w:val="00456ADF"/>
    <w:rsid w:val="00473063"/>
    <w:rsid w:val="00483D42"/>
    <w:rsid w:val="004841BC"/>
    <w:rsid w:val="00490715"/>
    <w:rsid w:val="004913D0"/>
    <w:rsid w:val="00491BA9"/>
    <w:rsid w:val="00492A0C"/>
    <w:rsid w:val="004956B6"/>
    <w:rsid w:val="004A2816"/>
    <w:rsid w:val="004A63D6"/>
    <w:rsid w:val="004B44B9"/>
    <w:rsid w:val="004C0F41"/>
    <w:rsid w:val="004C4F5A"/>
    <w:rsid w:val="004E2F48"/>
    <w:rsid w:val="004E3188"/>
    <w:rsid w:val="004E7778"/>
    <w:rsid w:val="004F2F20"/>
    <w:rsid w:val="00500BD8"/>
    <w:rsid w:val="005012E6"/>
    <w:rsid w:val="00503207"/>
    <w:rsid w:val="00511DE4"/>
    <w:rsid w:val="00513CF0"/>
    <w:rsid w:val="00522021"/>
    <w:rsid w:val="00534155"/>
    <w:rsid w:val="0054422B"/>
    <w:rsid w:val="00552460"/>
    <w:rsid w:val="005554F1"/>
    <w:rsid w:val="005610CA"/>
    <w:rsid w:val="005640BB"/>
    <w:rsid w:val="005653F9"/>
    <w:rsid w:val="00574298"/>
    <w:rsid w:val="00587FF7"/>
    <w:rsid w:val="00597401"/>
    <w:rsid w:val="005A24D3"/>
    <w:rsid w:val="005C2A4E"/>
    <w:rsid w:val="005C3A39"/>
    <w:rsid w:val="005D420E"/>
    <w:rsid w:val="005F0739"/>
    <w:rsid w:val="005F0C2E"/>
    <w:rsid w:val="005F29B9"/>
    <w:rsid w:val="0061323A"/>
    <w:rsid w:val="0062557A"/>
    <w:rsid w:val="00626EC2"/>
    <w:rsid w:val="00631C2E"/>
    <w:rsid w:val="0063414B"/>
    <w:rsid w:val="006348CE"/>
    <w:rsid w:val="00636C02"/>
    <w:rsid w:val="006534A1"/>
    <w:rsid w:val="00661052"/>
    <w:rsid w:val="00680E11"/>
    <w:rsid w:val="006922A3"/>
    <w:rsid w:val="006A51B7"/>
    <w:rsid w:val="006C1E4B"/>
    <w:rsid w:val="006C3F84"/>
    <w:rsid w:val="006C6897"/>
    <w:rsid w:val="006D14D8"/>
    <w:rsid w:val="006E0A61"/>
    <w:rsid w:val="006E6627"/>
    <w:rsid w:val="00710A66"/>
    <w:rsid w:val="0076004F"/>
    <w:rsid w:val="00761627"/>
    <w:rsid w:val="00770675"/>
    <w:rsid w:val="00776264"/>
    <w:rsid w:val="00781EDE"/>
    <w:rsid w:val="00794CE4"/>
    <w:rsid w:val="007A4C7E"/>
    <w:rsid w:val="007B579C"/>
    <w:rsid w:val="007C620E"/>
    <w:rsid w:val="007D09A2"/>
    <w:rsid w:val="007D0B65"/>
    <w:rsid w:val="007D1533"/>
    <w:rsid w:val="007D2736"/>
    <w:rsid w:val="007D7402"/>
    <w:rsid w:val="00801B19"/>
    <w:rsid w:val="00801C61"/>
    <w:rsid w:val="00805617"/>
    <w:rsid w:val="00815530"/>
    <w:rsid w:val="00816919"/>
    <w:rsid w:val="0082071A"/>
    <w:rsid w:val="00823C83"/>
    <w:rsid w:val="0084763C"/>
    <w:rsid w:val="00856223"/>
    <w:rsid w:val="008565AA"/>
    <w:rsid w:val="008652C5"/>
    <w:rsid w:val="00877E82"/>
    <w:rsid w:val="008862FA"/>
    <w:rsid w:val="00893D35"/>
    <w:rsid w:val="008A5B2F"/>
    <w:rsid w:val="008C672B"/>
    <w:rsid w:val="008D7D6D"/>
    <w:rsid w:val="008E3F9F"/>
    <w:rsid w:val="008F332D"/>
    <w:rsid w:val="008F7411"/>
    <w:rsid w:val="00900E01"/>
    <w:rsid w:val="00904D94"/>
    <w:rsid w:val="0091633B"/>
    <w:rsid w:val="009165FB"/>
    <w:rsid w:val="00935E26"/>
    <w:rsid w:val="00953074"/>
    <w:rsid w:val="00953A57"/>
    <w:rsid w:val="009541BE"/>
    <w:rsid w:val="009572E0"/>
    <w:rsid w:val="009625E6"/>
    <w:rsid w:val="00975545"/>
    <w:rsid w:val="00982E9B"/>
    <w:rsid w:val="009B2DBB"/>
    <w:rsid w:val="009C5BB8"/>
    <w:rsid w:val="009E0E22"/>
    <w:rsid w:val="009F505A"/>
    <w:rsid w:val="00A02D85"/>
    <w:rsid w:val="00A03D8F"/>
    <w:rsid w:val="00A171B3"/>
    <w:rsid w:val="00A241EB"/>
    <w:rsid w:val="00A462AE"/>
    <w:rsid w:val="00A645EF"/>
    <w:rsid w:val="00A8162A"/>
    <w:rsid w:val="00A96BD8"/>
    <w:rsid w:val="00A97AEC"/>
    <w:rsid w:val="00AC3D0A"/>
    <w:rsid w:val="00AE0B96"/>
    <w:rsid w:val="00AE1DF1"/>
    <w:rsid w:val="00AF6B2F"/>
    <w:rsid w:val="00AF6EB9"/>
    <w:rsid w:val="00B013C6"/>
    <w:rsid w:val="00B01B56"/>
    <w:rsid w:val="00B042A7"/>
    <w:rsid w:val="00B16A96"/>
    <w:rsid w:val="00B46BA9"/>
    <w:rsid w:val="00B50846"/>
    <w:rsid w:val="00B509F3"/>
    <w:rsid w:val="00B512E3"/>
    <w:rsid w:val="00B5446F"/>
    <w:rsid w:val="00B804FF"/>
    <w:rsid w:val="00B8204A"/>
    <w:rsid w:val="00B90145"/>
    <w:rsid w:val="00B9314F"/>
    <w:rsid w:val="00B96B27"/>
    <w:rsid w:val="00BA508E"/>
    <w:rsid w:val="00BB2F4B"/>
    <w:rsid w:val="00BB6B54"/>
    <w:rsid w:val="00BC4D25"/>
    <w:rsid w:val="00BD070E"/>
    <w:rsid w:val="00BD0FC5"/>
    <w:rsid w:val="00C04E31"/>
    <w:rsid w:val="00C05953"/>
    <w:rsid w:val="00C10829"/>
    <w:rsid w:val="00C128F0"/>
    <w:rsid w:val="00C17916"/>
    <w:rsid w:val="00C44189"/>
    <w:rsid w:val="00C504E8"/>
    <w:rsid w:val="00C508F6"/>
    <w:rsid w:val="00C52CF5"/>
    <w:rsid w:val="00C701B9"/>
    <w:rsid w:val="00C716EF"/>
    <w:rsid w:val="00C7559F"/>
    <w:rsid w:val="00C7710F"/>
    <w:rsid w:val="00C8745A"/>
    <w:rsid w:val="00C92B09"/>
    <w:rsid w:val="00CA7E95"/>
    <w:rsid w:val="00CF2E8B"/>
    <w:rsid w:val="00D00388"/>
    <w:rsid w:val="00D01AFF"/>
    <w:rsid w:val="00D11171"/>
    <w:rsid w:val="00D162F9"/>
    <w:rsid w:val="00D16F80"/>
    <w:rsid w:val="00D1710A"/>
    <w:rsid w:val="00D22336"/>
    <w:rsid w:val="00D335EB"/>
    <w:rsid w:val="00D367CB"/>
    <w:rsid w:val="00D41AE3"/>
    <w:rsid w:val="00D478C8"/>
    <w:rsid w:val="00D60ABE"/>
    <w:rsid w:val="00D71A29"/>
    <w:rsid w:val="00D72353"/>
    <w:rsid w:val="00D72862"/>
    <w:rsid w:val="00D840B3"/>
    <w:rsid w:val="00D94113"/>
    <w:rsid w:val="00D97CFA"/>
    <w:rsid w:val="00DD1EAD"/>
    <w:rsid w:val="00DF56CF"/>
    <w:rsid w:val="00E20632"/>
    <w:rsid w:val="00E30899"/>
    <w:rsid w:val="00E32354"/>
    <w:rsid w:val="00E42BE4"/>
    <w:rsid w:val="00E45791"/>
    <w:rsid w:val="00E46D23"/>
    <w:rsid w:val="00E50232"/>
    <w:rsid w:val="00E60DC8"/>
    <w:rsid w:val="00E72B71"/>
    <w:rsid w:val="00E95D18"/>
    <w:rsid w:val="00EA6E29"/>
    <w:rsid w:val="00EA73BC"/>
    <w:rsid w:val="00EC396A"/>
    <w:rsid w:val="00EC3E41"/>
    <w:rsid w:val="00EE56C4"/>
    <w:rsid w:val="00F0345D"/>
    <w:rsid w:val="00F04051"/>
    <w:rsid w:val="00F043A3"/>
    <w:rsid w:val="00F16A1B"/>
    <w:rsid w:val="00F20B2D"/>
    <w:rsid w:val="00F24270"/>
    <w:rsid w:val="00F402F7"/>
    <w:rsid w:val="00F67A58"/>
    <w:rsid w:val="00FA3E5D"/>
    <w:rsid w:val="00FB4DC2"/>
    <w:rsid w:val="00FB722D"/>
    <w:rsid w:val="00FD2723"/>
    <w:rsid w:val="00FD350B"/>
    <w:rsid w:val="00FE3F34"/>
    <w:rsid w:val="00FE6785"/>
    <w:rsid w:val="00FE7A26"/>
    <w:rsid w:val="00FF3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fillcolor="white">
      <v:fill color="white"/>
      <v:shadow color="black" opacity="49151f" offset=".74833mm,.74833mm"/>
      <o:colormru v:ext="edit" colors="#0064a2,#789327,#6db3ff,#cc621e,#e6aa79,#21889a,#bc0069,#e8e8e8"/>
    </o:shapedefaults>
    <o:shapelayout v:ext="edit">
      <o:idmap v:ext="edit" data="1"/>
    </o:shapelayout>
  </w:shapeDefaults>
  <w:doNotEmbedSmartTags/>
  <w:decimalSymbol w:val="."/>
  <w:listSeparator w:val=","/>
  <w14:docId w14:val="45D0E7DB"/>
  <w15:docId w15:val="{2BC483E0-1766-4BC9-BF56-E956525A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link w:val="Heading1Char"/>
    <w:qFormat/>
    <w:rsid w:val="00283A28"/>
    <w:pPr>
      <w:keepNext/>
      <w:spacing w:before="240" w:after="60"/>
      <w:outlineLvl w:val="0"/>
    </w:pPr>
    <w:rPr>
      <w:rFonts w:ascii="Arial" w:hAnsi="Arial"/>
      <w:b/>
      <w:kern w:val="32"/>
      <w:sz w:val="32"/>
      <w:szCs w:val="32"/>
    </w:rPr>
  </w:style>
  <w:style w:type="paragraph" w:styleId="Heading2">
    <w:name w:val="heading 2"/>
    <w:basedOn w:val="Normal"/>
    <w:next w:val="Normal"/>
    <w:qFormat/>
    <w:rsid w:val="00283A28"/>
    <w:pPr>
      <w:keepNext/>
      <w:spacing w:before="240" w:after="60"/>
      <w:outlineLvl w:val="1"/>
    </w:pPr>
    <w:rPr>
      <w:rFonts w:ascii="Arial" w:hAnsi="Arial"/>
      <w:b/>
      <w:i/>
      <w:sz w:val="28"/>
      <w:szCs w:val="28"/>
    </w:rPr>
  </w:style>
  <w:style w:type="paragraph" w:styleId="Heading3">
    <w:name w:val="heading 3"/>
    <w:basedOn w:val="Normal"/>
    <w:next w:val="Normal"/>
    <w:qFormat/>
    <w:rsid w:val="00283A28"/>
    <w:pPr>
      <w:keepNext/>
      <w:spacing w:before="240" w:after="60"/>
      <w:outlineLvl w:val="2"/>
    </w:pPr>
    <w:rPr>
      <w:rFonts w:ascii="Arial" w:hAnsi="Arial"/>
      <w:b/>
      <w:sz w:val="26"/>
      <w:szCs w:val="26"/>
    </w:rPr>
  </w:style>
  <w:style w:type="paragraph" w:styleId="Heading5">
    <w:name w:val="heading 5"/>
    <w:basedOn w:val="Normal"/>
    <w:next w:val="Normal"/>
    <w:qFormat/>
    <w:rsid w:val="00C83D47"/>
    <w:pPr>
      <w:spacing w:before="240" w:after="60"/>
      <w:outlineLvl w:val="4"/>
    </w:pPr>
    <w:rPr>
      <w:rFonts w:ascii="Arial" w:hAnsi="Arial" w:cs="Arial"/>
      <w:b/>
      <w:bCs/>
      <w:i/>
      <w:iCs/>
      <w:sz w:val="26"/>
      <w:szCs w:val="26"/>
    </w:rPr>
  </w:style>
  <w:style w:type="paragraph" w:styleId="Heading8">
    <w:name w:val="heading 8"/>
    <w:basedOn w:val="Normal"/>
    <w:next w:val="Normal"/>
    <w:qFormat/>
    <w:rsid w:val="00C83D47"/>
    <w:pPr>
      <w:keepNext/>
      <w:outlineLvl w:val="7"/>
    </w:pPr>
    <w:rPr>
      <w:rFonts w:ascii="Impact" w:hAnsi="Impact"/>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83A28"/>
  </w:style>
  <w:style w:type="paragraph" w:styleId="Header">
    <w:name w:val="header"/>
    <w:basedOn w:val="Normal"/>
    <w:rsid w:val="00DB67FF"/>
    <w:pPr>
      <w:tabs>
        <w:tab w:val="center" w:pos="4320"/>
        <w:tab w:val="right" w:pos="8640"/>
      </w:tabs>
    </w:pPr>
  </w:style>
  <w:style w:type="paragraph" w:styleId="Footer">
    <w:name w:val="footer"/>
    <w:basedOn w:val="Normal"/>
    <w:semiHidden/>
    <w:rsid w:val="00DB67FF"/>
    <w:pPr>
      <w:tabs>
        <w:tab w:val="center" w:pos="4320"/>
        <w:tab w:val="right" w:pos="8640"/>
      </w:tabs>
    </w:pPr>
    <w:rPr>
      <w:rFonts w:ascii="Verdana" w:hAnsi="Verdana"/>
      <w:sz w:val="20"/>
    </w:rPr>
  </w:style>
  <w:style w:type="paragraph" w:customStyle="1" w:styleId="01BSCCParagraphbodystyle">
    <w:name w:val="01BS CC Paragraph body style"/>
    <w:rsid w:val="00C83D47"/>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C83D47"/>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AF1A2A"/>
    <w:pPr>
      <w:tabs>
        <w:tab w:val="num" w:pos="360"/>
      </w:tabs>
      <w:spacing w:after="120"/>
      <w:ind w:right="284"/>
    </w:pPr>
  </w:style>
  <w:style w:type="paragraph" w:customStyle="1" w:styleId="01IPCCIntroPara">
    <w:name w:val="01IP CC Intro Para"/>
    <w:basedOn w:val="01S1CCSubhead1"/>
    <w:next w:val="01S1CCSubhead1"/>
    <w:autoRedefine/>
    <w:rsid w:val="003A035C"/>
    <w:pPr>
      <w:spacing w:line="360" w:lineRule="auto"/>
    </w:pPr>
    <w:rPr>
      <w:b w:val="0"/>
    </w:rPr>
  </w:style>
  <w:style w:type="paragraph" w:customStyle="1" w:styleId="BCCCoverDocumentsubtitle">
    <w:name w:val="B CC Cover Document subtitle"/>
    <w:basedOn w:val="Normal"/>
    <w:autoRedefine/>
    <w:rsid w:val="003062B5"/>
    <w:pPr>
      <w:spacing w:before="100"/>
      <w:ind w:left="113"/>
    </w:pPr>
    <w:rPr>
      <w:rFonts w:ascii="Verdana" w:hAnsi="Verdana"/>
      <w:sz w:val="28"/>
    </w:rPr>
  </w:style>
  <w:style w:type="paragraph" w:customStyle="1" w:styleId="CCCCoverDocumentDate">
    <w:name w:val="C CC Cover Document Date"/>
    <w:basedOn w:val="Normal"/>
    <w:autoRedefine/>
    <w:rsid w:val="00955659"/>
    <w:pPr>
      <w:ind w:left="567"/>
    </w:pPr>
    <w:rPr>
      <w:rFonts w:ascii="Verdana" w:hAnsi="Verdana"/>
      <w:b/>
      <w:sz w:val="28"/>
    </w:rPr>
  </w:style>
  <w:style w:type="paragraph" w:customStyle="1" w:styleId="DCCDepartmentTitle">
    <w:name w:val="D CC Department Title"/>
    <w:basedOn w:val="Normal"/>
    <w:autoRedefine/>
    <w:rsid w:val="00955659"/>
    <w:pPr>
      <w:ind w:left="851"/>
    </w:pPr>
    <w:rPr>
      <w:rFonts w:ascii="Verdana" w:hAnsi="Verdana"/>
      <w:sz w:val="28"/>
    </w:rPr>
  </w:style>
  <w:style w:type="paragraph" w:styleId="TOC1">
    <w:name w:val="toc 1"/>
    <w:basedOn w:val="02S1CCContentsSubhead"/>
    <w:next w:val="02BSCCContentsParagraphbodystyle"/>
    <w:autoRedefine/>
    <w:semiHidden/>
    <w:rsid w:val="00C83D47"/>
    <w:pPr>
      <w:tabs>
        <w:tab w:val="left" w:pos="567"/>
        <w:tab w:val="right" w:pos="8505"/>
      </w:tabs>
      <w:ind w:left="567" w:hanging="567"/>
    </w:pPr>
    <w:rPr>
      <w:sz w:val="22"/>
    </w:rPr>
  </w:style>
  <w:style w:type="paragraph" w:customStyle="1" w:styleId="02S1CCContentsSubhead">
    <w:name w:val="02S1 CC Contents Subhead"/>
    <w:basedOn w:val="01S1CCSubhead1"/>
    <w:next w:val="01BSCCParagraphbodystyle"/>
    <w:autoRedefine/>
    <w:rsid w:val="00283A28"/>
    <w:pPr>
      <w:spacing w:before="240" w:after="0"/>
    </w:pPr>
  </w:style>
  <w:style w:type="paragraph" w:customStyle="1" w:styleId="02BSCCContentsParagraphbodystyle">
    <w:name w:val="02BS CC Contents Paragraph body style"/>
    <w:basedOn w:val="01BSCCParagraphbodystyle"/>
    <w:rsid w:val="00283A28"/>
    <w:pPr>
      <w:tabs>
        <w:tab w:val="right" w:pos="8502"/>
      </w:tabs>
      <w:spacing w:after="0"/>
    </w:pPr>
  </w:style>
  <w:style w:type="paragraph" w:customStyle="1" w:styleId="01BHCCBulletsubhead">
    <w:name w:val="01BH CC Bullet subhead"/>
    <w:basedOn w:val="01BSCCParagraphbodystyle"/>
    <w:next w:val="01B1CCBulletTextLevel1"/>
    <w:rsid w:val="00283A28"/>
    <w:pPr>
      <w:spacing w:after="0"/>
      <w:ind w:left="490"/>
    </w:pPr>
    <w:rPr>
      <w:b/>
    </w:rPr>
  </w:style>
  <w:style w:type="paragraph" w:styleId="TOC2">
    <w:name w:val="toc 2"/>
    <w:basedOn w:val="02BSCCContentsParagraphbodystyle"/>
    <w:next w:val="Normal"/>
    <w:autoRedefine/>
    <w:semiHidden/>
    <w:rsid w:val="00C83D47"/>
    <w:pPr>
      <w:tabs>
        <w:tab w:val="left" w:pos="1247"/>
      </w:tabs>
      <w:ind w:left="567"/>
    </w:pPr>
    <w:rPr>
      <w:sz w:val="18"/>
    </w:rPr>
  </w:style>
  <w:style w:type="paragraph" w:styleId="TOC3">
    <w:name w:val="toc 3"/>
    <w:basedOn w:val="Normal"/>
    <w:next w:val="Normal"/>
    <w:autoRedefine/>
    <w:semiHidden/>
    <w:rsid w:val="00283A28"/>
    <w:pPr>
      <w:ind w:left="480"/>
    </w:pPr>
  </w:style>
  <w:style w:type="paragraph" w:styleId="TOC4">
    <w:name w:val="toc 4"/>
    <w:basedOn w:val="Normal"/>
    <w:next w:val="Normal"/>
    <w:autoRedefine/>
    <w:semiHidden/>
    <w:rsid w:val="00283A28"/>
    <w:pPr>
      <w:ind w:left="720"/>
    </w:pPr>
  </w:style>
  <w:style w:type="paragraph" w:styleId="TOC5">
    <w:name w:val="toc 5"/>
    <w:basedOn w:val="Normal"/>
    <w:next w:val="Normal"/>
    <w:autoRedefine/>
    <w:semiHidden/>
    <w:rsid w:val="00283A28"/>
    <w:pPr>
      <w:ind w:left="960"/>
    </w:pPr>
  </w:style>
  <w:style w:type="paragraph" w:styleId="TOC6">
    <w:name w:val="toc 6"/>
    <w:basedOn w:val="Normal"/>
    <w:next w:val="Normal"/>
    <w:autoRedefine/>
    <w:semiHidden/>
    <w:rsid w:val="00283A28"/>
    <w:pPr>
      <w:ind w:left="1200"/>
    </w:pPr>
  </w:style>
  <w:style w:type="paragraph" w:styleId="TOC7">
    <w:name w:val="toc 7"/>
    <w:basedOn w:val="Normal"/>
    <w:next w:val="Normal"/>
    <w:autoRedefine/>
    <w:semiHidden/>
    <w:rsid w:val="00283A28"/>
    <w:pPr>
      <w:ind w:left="1440"/>
    </w:pPr>
  </w:style>
  <w:style w:type="paragraph" w:styleId="TOC8">
    <w:name w:val="toc 8"/>
    <w:basedOn w:val="Normal"/>
    <w:next w:val="Normal"/>
    <w:autoRedefine/>
    <w:semiHidden/>
    <w:rsid w:val="00283A28"/>
    <w:pPr>
      <w:ind w:left="1680"/>
    </w:pPr>
  </w:style>
  <w:style w:type="paragraph" w:styleId="TOC9">
    <w:name w:val="toc 9"/>
    <w:basedOn w:val="Normal"/>
    <w:next w:val="Normal"/>
    <w:autoRedefine/>
    <w:semiHidden/>
    <w:rsid w:val="00283A28"/>
    <w:pPr>
      <w:ind w:left="1920"/>
    </w:pPr>
  </w:style>
  <w:style w:type="paragraph" w:customStyle="1" w:styleId="01S2CCSubhead2">
    <w:name w:val="01S2 CC Subhead 2"/>
    <w:basedOn w:val="01S1CCSubhead1"/>
    <w:next w:val="01BSCCParagraphbodystyle"/>
    <w:autoRedefine/>
    <w:rsid w:val="00AC3D0A"/>
    <w:pPr>
      <w:spacing w:before="0" w:after="0" w:line="276" w:lineRule="auto"/>
      <w:ind w:left="426" w:hanging="426"/>
    </w:pPr>
    <w:rPr>
      <w:sz w:val="24"/>
      <w:szCs w:val="24"/>
    </w:rPr>
  </w:style>
  <w:style w:type="paragraph" w:customStyle="1" w:styleId="04THCCTablehead">
    <w:name w:val="04TH CC Table head"/>
    <w:basedOn w:val="01BSCCParagraphbodystyle"/>
    <w:autoRedefine/>
    <w:rsid w:val="00AF1A2A"/>
    <w:pPr>
      <w:spacing w:before="120" w:after="120"/>
    </w:pPr>
    <w:rPr>
      <w:b/>
      <w:color w:val="FFFFFF"/>
      <w:sz w:val="28"/>
    </w:rPr>
  </w:style>
  <w:style w:type="paragraph" w:customStyle="1" w:styleId="04TCCCTableCentresubhead">
    <w:name w:val="04TC CC Table Centre subhead"/>
    <w:basedOn w:val="01BSCCParagraphbodystyle"/>
    <w:autoRedefine/>
    <w:rsid w:val="00133387"/>
    <w:pPr>
      <w:framePr w:hSpace="180" w:wrap="around" w:hAnchor="margin" w:y="636"/>
      <w:spacing w:before="120" w:after="120"/>
    </w:pPr>
    <w:rPr>
      <w:sz w:val="20"/>
    </w:rPr>
  </w:style>
  <w:style w:type="paragraph" w:customStyle="1" w:styleId="01B2CCBulletlev2">
    <w:name w:val="01B2 CC Bullet lev 2"/>
    <w:basedOn w:val="01B1CCBulletTextLevel1"/>
    <w:autoRedefine/>
    <w:rsid w:val="00283A28"/>
    <w:pPr>
      <w:tabs>
        <w:tab w:val="num" w:pos="1134"/>
      </w:tabs>
      <w:ind w:left="1134" w:hanging="283"/>
    </w:pPr>
  </w:style>
  <w:style w:type="paragraph" w:customStyle="1" w:styleId="01B3CCBulletlev3">
    <w:name w:val="01B3 CC Bullet lev 3"/>
    <w:basedOn w:val="01B2CCBulletlev2"/>
    <w:autoRedefine/>
    <w:rsid w:val="00283A28"/>
    <w:pPr>
      <w:tabs>
        <w:tab w:val="num" w:pos="1701"/>
      </w:tabs>
      <w:spacing w:after="0"/>
      <w:ind w:left="1701"/>
    </w:pPr>
  </w:style>
  <w:style w:type="paragraph" w:customStyle="1" w:styleId="04TLCCTableLeftSubhead">
    <w:name w:val="04TL CC Table Left Subhead"/>
    <w:basedOn w:val="04TCCCTableCentresubhead"/>
    <w:rsid w:val="00C83D47"/>
    <w:pPr>
      <w:framePr w:wrap="around"/>
    </w:pPr>
    <w:rPr>
      <w:szCs w:val="22"/>
    </w:rPr>
  </w:style>
  <w:style w:type="character" w:styleId="Hyperlink">
    <w:name w:val="Hyperlink"/>
    <w:basedOn w:val="DefaultParagraphFont"/>
    <w:rsid w:val="00C83D47"/>
    <w:rPr>
      <w:color w:val="0000FF"/>
      <w:u w:val="single"/>
    </w:rPr>
  </w:style>
  <w:style w:type="paragraph" w:customStyle="1" w:styleId="04BSCCTableParagraphstyle">
    <w:name w:val="04BS CC Table Paragraph style"/>
    <w:basedOn w:val="Normal"/>
    <w:autoRedefine/>
    <w:rsid w:val="00C83D47"/>
    <w:pPr>
      <w:suppressAutoHyphens/>
      <w:spacing w:before="120" w:after="120"/>
    </w:pPr>
    <w:rPr>
      <w:rFonts w:ascii="Verdana" w:hAnsi="Verdana"/>
      <w:sz w:val="18"/>
    </w:rPr>
  </w:style>
  <w:style w:type="paragraph" w:customStyle="1" w:styleId="02S2CCContentsSubhead2">
    <w:name w:val="02S2 CC Contents Subhead 2"/>
    <w:basedOn w:val="Normal"/>
    <w:autoRedefine/>
    <w:rsid w:val="00C83D47"/>
    <w:rPr>
      <w:rFonts w:ascii="Verdana" w:hAnsi="Verdana"/>
      <w:sz w:val="28"/>
    </w:rPr>
  </w:style>
  <w:style w:type="paragraph" w:customStyle="1" w:styleId="ACCDocumentTitle">
    <w:name w:val="A CC Document Title"/>
    <w:basedOn w:val="Normal"/>
    <w:next w:val="Normal"/>
    <w:autoRedefine/>
    <w:rsid w:val="00C83D47"/>
    <w:rPr>
      <w:rFonts w:ascii="Verdana" w:hAnsi="Verdana"/>
      <w:b/>
      <w:sz w:val="40"/>
    </w:rPr>
  </w:style>
  <w:style w:type="paragraph" w:customStyle="1" w:styleId="BCCDocumentsubtitle">
    <w:name w:val="B CC Document subtitle"/>
    <w:basedOn w:val="Normal"/>
    <w:autoRedefine/>
    <w:rsid w:val="00C83D47"/>
    <w:rPr>
      <w:rFonts w:ascii="Verdana" w:hAnsi="Verdana"/>
      <w:sz w:val="28"/>
    </w:rPr>
  </w:style>
  <w:style w:type="paragraph" w:customStyle="1" w:styleId="RECOMMENDATION">
    <w:name w:val="RECOMMENDATION"/>
    <w:basedOn w:val="Normal"/>
    <w:rsid w:val="00C83D47"/>
    <w:pPr>
      <w:spacing w:after="240"/>
    </w:pPr>
    <w:rPr>
      <w:rFonts w:ascii="Foundry Sans" w:hAnsi="Foundry Sans"/>
      <w:b/>
      <w:caps/>
      <w:sz w:val="22"/>
      <w:lang w:eastAsia="en-GB"/>
    </w:rPr>
  </w:style>
  <w:style w:type="paragraph" w:customStyle="1" w:styleId="01S3CCSubheadcentred">
    <w:name w:val="01S3 CC Subhead centred"/>
    <w:basedOn w:val="01BSCCParagraphbodystyle"/>
    <w:rsid w:val="00C83D47"/>
    <w:pPr>
      <w:spacing w:before="120" w:after="120"/>
      <w:jc w:val="center"/>
    </w:pPr>
    <w:rPr>
      <w:b/>
      <w:sz w:val="24"/>
    </w:rPr>
  </w:style>
  <w:style w:type="table" w:styleId="TableGrid">
    <w:name w:val="Table Grid"/>
    <w:aliases w:val="Table no border"/>
    <w:basedOn w:val="TableNormal"/>
    <w:uiPriority w:val="39"/>
    <w:rsid w:val="00C83D47"/>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nhideWhenUsed/>
    <w:rsid w:val="00B16A96"/>
    <w:pPr>
      <w:numPr>
        <w:numId w:val="4"/>
      </w:numPr>
      <w:contextualSpacing/>
    </w:pPr>
    <w:rPr>
      <w:rFonts w:ascii="Arial" w:eastAsia="Calibri" w:hAnsi="Arial"/>
      <w:szCs w:val="22"/>
    </w:rPr>
  </w:style>
  <w:style w:type="paragraph" w:customStyle="1" w:styleId="04THCCTableheadwhite">
    <w:name w:val="04TH CC Table head white"/>
    <w:basedOn w:val="04THCCTablehead"/>
    <w:rsid w:val="00AF1A2A"/>
  </w:style>
  <w:style w:type="paragraph" w:styleId="NormalWeb">
    <w:name w:val="Normal (Web)"/>
    <w:basedOn w:val="Normal"/>
    <w:rsid w:val="00B16A96"/>
    <w:pPr>
      <w:spacing w:before="100" w:beforeAutospacing="1" w:after="100" w:afterAutospacing="1"/>
    </w:pPr>
    <w:rPr>
      <w:szCs w:val="24"/>
      <w:lang w:eastAsia="en-GB"/>
    </w:rPr>
  </w:style>
  <w:style w:type="paragraph" w:customStyle="1" w:styleId="BasicParagraph">
    <w:name w:val="[Basic Paragraph]"/>
    <w:basedOn w:val="Normal"/>
    <w:uiPriority w:val="99"/>
    <w:rsid w:val="007C620E"/>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2"/>
      <w:szCs w:val="24"/>
    </w:rPr>
  </w:style>
  <w:style w:type="paragraph" w:styleId="BalloonText">
    <w:name w:val="Balloon Text"/>
    <w:basedOn w:val="Normal"/>
    <w:link w:val="BalloonTextChar"/>
    <w:rsid w:val="00D94113"/>
    <w:rPr>
      <w:rFonts w:ascii="Tahoma" w:hAnsi="Tahoma" w:cs="Tahoma"/>
      <w:sz w:val="16"/>
      <w:szCs w:val="16"/>
    </w:rPr>
  </w:style>
  <w:style w:type="character" w:customStyle="1" w:styleId="BalloonTextChar">
    <w:name w:val="Balloon Text Char"/>
    <w:basedOn w:val="DefaultParagraphFont"/>
    <w:link w:val="BalloonText"/>
    <w:rsid w:val="00D94113"/>
    <w:rPr>
      <w:rFonts w:ascii="Tahoma" w:hAnsi="Tahoma" w:cs="Tahoma"/>
      <w:sz w:val="16"/>
      <w:szCs w:val="16"/>
      <w:lang w:eastAsia="en-US"/>
    </w:rPr>
  </w:style>
  <w:style w:type="paragraph" w:styleId="ListParagraph">
    <w:name w:val="List Paragraph"/>
    <w:basedOn w:val="Normal"/>
    <w:uiPriority w:val="34"/>
    <w:qFormat/>
    <w:rsid w:val="007D1533"/>
    <w:pPr>
      <w:ind w:left="720"/>
      <w:contextualSpacing/>
    </w:pPr>
  </w:style>
  <w:style w:type="character" w:styleId="CommentReference">
    <w:name w:val="annotation reference"/>
    <w:basedOn w:val="DefaultParagraphFont"/>
    <w:rsid w:val="00C701B9"/>
    <w:rPr>
      <w:sz w:val="16"/>
      <w:szCs w:val="16"/>
    </w:rPr>
  </w:style>
  <w:style w:type="paragraph" w:styleId="CommentText">
    <w:name w:val="annotation text"/>
    <w:basedOn w:val="Normal"/>
    <w:link w:val="CommentTextChar"/>
    <w:rsid w:val="00C701B9"/>
    <w:rPr>
      <w:sz w:val="20"/>
    </w:rPr>
  </w:style>
  <w:style w:type="character" w:customStyle="1" w:styleId="CommentTextChar">
    <w:name w:val="Comment Text Char"/>
    <w:basedOn w:val="DefaultParagraphFont"/>
    <w:link w:val="CommentText"/>
    <w:rsid w:val="00C701B9"/>
    <w:rPr>
      <w:lang w:eastAsia="en-US"/>
    </w:rPr>
  </w:style>
  <w:style w:type="paragraph" w:styleId="CommentSubject">
    <w:name w:val="annotation subject"/>
    <w:basedOn w:val="CommentText"/>
    <w:next w:val="CommentText"/>
    <w:link w:val="CommentSubjectChar"/>
    <w:rsid w:val="00C701B9"/>
    <w:rPr>
      <w:b/>
      <w:bCs/>
    </w:rPr>
  </w:style>
  <w:style w:type="character" w:customStyle="1" w:styleId="CommentSubjectChar">
    <w:name w:val="Comment Subject Char"/>
    <w:basedOn w:val="CommentTextChar"/>
    <w:link w:val="CommentSubject"/>
    <w:rsid w:val="00C701B9"/>
    <w:rPr>
      <w:b/>
      <w:bCs/>
      <w:lang w:eastAsia="en-US"/>
    </w:rPr>
  </w:style>
  <w:style w:type="character" w:customStyle="1" w:styleId="Heading1Char">
    <w:name w:val="Heading 1 Char"/>
    <w:link w:val="Heading1"/>
    <w:rsid w:val="00F04051"/>
    <w:rPr>
      <w:rFonts w:ascii="Arial" w:hAnsi="Arial"/>
      <w:b/>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972782">
      <w:bodyDiv w:val="1"/>
      <w:marLeft w:val="0"/>
      <w:marRight w:val="0"/>
      <w:marTop w:val="0"/>
      <w:marBottom w:val="0"/>
      <w:divBdr>
        <w:top w:val="none" w:sz="0" w:space="0" w:color="auto"/>
        <w:left w:val="none" w:sz="0" w:space="0" w:color="auto"/>
        <w:bottom w:val="none" w:sz="0" w:space="0" w:color="auto"/>
        <w:right w:val="none" w:sz="0" w:space="0" w:color="auto"/>
      </w:divBdr>
    </w:div>
    <w:div w:id="1295868558">
      <w:bodyDiv w:val="1"/>
      <w:marLeft w:val="0"/>
      <w:marRight w:val="0"/>
      <w:marTop w:val="0"/>
      <w:marBottom w:val="0"/>
      <w:divBdr>
        <w:top w:val="none" w:sz="0" w:space="0" w:color="auto"/>
        <w:left w:val="none" w:sz="0" w:space="0" w:color="auto"/>
        <w:bottom w:val="none" w:sz="0" w:space="0" w:color="auto"/>
        <w:right w:val="none" w:sz="0" w:space="0" w:color="auto"/>
      </w:divBdr>
      <w:divsChild>
        <w:div w:id="1043749880">
          <w:marLeft w:val="0"/>
          <w:marRight w:val="0"/>
          <w:marTop w:val="0"/>
          <w:marBottom w:val="0"/>
          <w:divBdr>
            <w:top w:val="none" w:sz="0" w:space="0" w:color="auto"/>
            <w:left w:val="none" w:sz="0" w:space="0" w:color="auto"/>
            <w:bottom w:val="none" w:sz="0" w:space="0" w:color="auto"/>
            <w:right w:val="none" w:sz="0" w:space="0" w:color="auto"/>
          </w:divBdr>
          <w:divsChild>
            <w:div w:id="1355958912">
              <w:marLeft w:val="0"/>
              <w:marRight w:val="0"/>
              <w:marTop w:val="0"/>
              <w:marBottom w:val="0"/>
              <w:divBdr>
                <w:top w:val="none" w:sz="0" w:space="0" w:color="auto"/>
                <w:left w:val="none" w:sz="0" w:space="0" w:color="auto"/>
                <w:bottom w:val="none" w:sz="0" w:space="0" w:color="auto"/>
                <w:right w:val="none" w:sz="0" w:space="0" w:color="auto"/>
              </w:divBdr>
              <w:divsChild>
                <w:div w:id="680937049">
                  <w:marLeft w:val="0"/>
                  <w:marRight w:val="0"/>
                  <w:marTop w:val="0"/>
                  <w:marBottom w:val="0"/>
                  <w:divBdr>
                    <w:top w:val="none" w:sz="0" w:space="0" w:color="auto"/>
                    <w:left w:val="none" w:sz="0" w:space="0" w:color="auto"/>
                    <w:bottom w:val="none" w:sz="0" w:space="0" w:color="auto"/>
                    <w:right w:val="none" w:sz="0" w:space="0" w:color="auto"/>
                  </w:divBdr>
                  <w:divsChild>
                    <w:div w:id="1650019624">
                      <w:marLeft w:val="0"/>
                      <w:marRight w:val="0"/>
                      <w:marTop w:val="0"/>
                      <w:marBottom w:val="0"/>
                      <w:divBdr>
                        <w:top w:val="none" w:sz="0" w:space="0" w:color="auto"/>
                        <w:left w:val="none" w:sz="0" w:space="0" w:color="auto"/>
                        <w:bottom w:val="none" w:sz="0" w:space="0" w:color="auto"/>
                        <w:right w:val="none" w:sz="0" w:space="0" w:color="auto"/>
                      </w:divBdr>
                      <w:divsChild>
                        <w:div w:id="170737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25507">
      <w:bodyDiv w:val="1"/>
      <w:marLeft w:val="0"/>
      <w:marRight w:val="0"/>
      <w:marTop w:val="0"/>
      <w:marBottom w:val="0"/>
      <w:divBdr>
        <w:top w:val="none" w:sz="0" w:space="0" w:color="auto"/>
        <w:left w:val="none" w:sz="0" w:space="0" w:color="auto"/>
        <w:bottom w:val="none" w:sz="0" w:space="0" w:color="auto"/>
        <w:right w:val="none" w:sz="0" w:space="0" w:color="auto"/>
      </w:divBdr>
      <w:divsChild>
        <w:div w:id="1705984107">
          <w:marLeft w:val="0"/>
          <w:marRight w:val="0"/>
          <w:marTop w:val="0"/>
          <w:marBottom w:val="0"/>
          <w:divBdr>
            <w:top w:val="none" w:sz="0" w:space="0" w:color="auto"/>
            <w:left w:val="none" w:sz="0" w:space="0" w:color="auto"/>
            <w:bottom w:val="none" w:sz="0" w:space="0" w:color="auto"/>
            <w:right w:val="none" w:sz="0" w:space="0" w:color="auto"/>
          </w:divBdr>
          <w:divsChild>
            <w:div w:id="624192779">
              <w:marLeft w:val="0"/>
              <w:marRight w:val="0"/>
              <w:marTop w:val="0"/>
              <w:marBottom w:val="0"/>
              <w:divBdr>
                <w:top w:val="none" w:sz="0" w:space="0" w:color="auto"/>
                <w:left w:val="none" w:sz="0" w:space="0" w:color="auto"/>
                <w:bottom w:val="none" w:sz="0" w:space="0" w:color="auto"/>
                <w:right w:val="none" w:sz="0" w:space="0" w:color="auto"/>
              </w:divBdr>
              <w:divsChild>
                <w:div w:id="1899972641">
                  <w:marLeft w:val="0"/>
                  <w:marRight w:val="0"/>
                  <w:marTop w:val="0"/>
                  <w:marBottom w:val="0"/>
                  <w:divBdr>
                    <w:top w:val="none" w:sz="0" w:space="0" w:color="auto"/>
                    <w:left w:val="none" w:sz="0" w:space="0" w:color="auto"/>
                    <w:bottom w:val="none" w:sz="0" w:space="0" w:color="auto"/>
                    <w:right w:val="none" w:sz="0" w:space="0" w:color="auto"/>
                  </w:divBdr>
                  <w:divsChild>
                    <w:div w:id="497313128">
                      <w:marLeft w:val="0"/>
                      <w:marRight w:val="0"/>
                      <w:marTop w:val="0"/>
                      <w:marBottom w:val="0"/>
                      <w:divBdr>
                        <w:top w:val="none" w:sz="0" w:space="0" w:color="auto"/>
                        <w:left w:val="none" w:sz="0" w:space="0" w:color="auto"/>
                        <w:bottom w:val="none" w:sz="0" w:space="0" w:color="auto"/>
                        <w:right w:val="none" w:sz="0" w:space="0" w:color="auto"/>
                      </w:divBdr>
                      <w:divsChild>
                        <w:div w:id="95127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cornwallhousing.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mailto:info@cornwallhousing.org.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ornwallhousing.org.uk"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9320D-AD1D-4F8B-879E-2299ADD3C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4382</Words>
  <Characters>24981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29305</CharactersWithSpaces>
  <SharedDoc>false</SharedDoc>
  <HyperlinkBase/>
  <HLinks>
    <vt:vector size="30" baseType="variant">
      <vt:variant>
        <vt:i4>7274563</vt:i4>
      </vt:variant>
      <vt:variant>
        <vt:i4>12</vt:i4>
      </vt:variant>
      <vt:variant>
        <vt:i4>0</vt:i4>
      </vt:variant>
      <vt:variant>
        <vt:i4>5</vt:i4>
      </vt:variant>
      <vt:variant>
        <vt:lpwstr>http://www.equalityhumanrights.com/rss/_mg1u2g63t.xml</vt:lpwstr>
      </vt:variant>
      <vt:variant>
        <vt:lpwstr/>
      </vt:variant>
      <vt:variant>
        <vt:i4>6291511</vt:i4>
      </vt:variant>
      <vt:variant>
        <vt:i4>3</vt:i4>
      </vt:variant>
      <vt:variant>
        <vt:i4>0</vt:i4>
      </vt:variant>
      <vt:variant>
        <vt:i4>5</vt:i4>
      </vt:variant>
      <vt:variant>
        <vt:lpwstr>http://www.cornwallhousing.org.uk/</vt:lpwstr>
      </vt:variant>
      <vt:variant>
        <vt:lpwstr/>
      </vt:variant>
      <vt:variant>
        <vt:i4>4849711</vt:i4>
      </vt:variant>
      <vt:variant>
        <vt:i4>0</vt:i4>
      </vt:variant>
      <vt:variant>
        <vt:i4>0</vt:i4>
      </vt:variant>
      <vt:variant>
        <vt:i4>5</vt:i4>
      </vt:variant>
      <vt:variant>
        <vt:lpwstr>mailto:info@cornwallhousing.org.uk</vt:lpwstr>
      </vt:variant>
      <vt:variant>
        <vt:lpwstr/>
      </vt:variant>
      <vt:variant>
        <vt:i4>1310746</vt:i4>
      </vt:variant>
      <vt:variant>
        <vt:i4>-1</vt:i4>
      </vt:variant>
      <vt:variant>
        <vt:i4>1037</vt:i4>
      </vt:variant>
      <vt:variant>
        <vt:i4>1</vt:i4>
      </vt:variant>
      <vt:variant>
        <vt:lpwstr>http://www.cornwallhousingintranet.org.uk/index.php?option=com_docman&amp;task=doc_download&amp;gid=95&amp;Itemid=55</vt:lpwstr>
      </vt:variant>
      <vt:variant>
        <vt:lpwstr/>
      </vt:variant>
      <vt:variant>
        <vt:i4>1310746</vt:i4>
      </vt:variant>
      <vt:variant>
        <vt:i4>-1</vt:i4>
      </vt:variant>
      <vt:variant>
        <vt:i4>1038</vt:i4>
      </vt:variant>
      <vt:variant>
        <vt:i4>1</vt:i4>
      </vt:variant>
      <vt:variant>
        <vt:lpwstr>http://www.cornwallhousingintranet.org.uk/index.php?option=com_docman&amp;task=doc_download&amp;gid=95&amp;Itemid=55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Harries</dc:creator>
  <cp:lastModifiedBy>Paul Wood</cp:lastModifiedBy>
  <cp:revision>2</cp:revision>
  <cp:lastPrinted>2012-05-31T16:16:00Z</cp:lastPrinted>
  <dcterms:created xsi:type="dcterms:W3CDTF">2019-02-01T00:18:00Z</dcterms:created>
  <dcterms:modified xsi:type="dcterms:W3CDTF">2019-02-01T00:18:00Z</dcterms:modified>
</cp:coreProperties>
</file>